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1EBB" w14:textId="77777777" w:rsidR="003017B2" w:rsidRPr="0086047B" w:rsidRDefault="003017B2" w:rsidP="003017B2">
      <w:pPr>
        <w:pStyle w:val="Head3-BSA-AML"/>
        <w:rPr>
          <w:sz w:val="36"/>
          <w:szCs w:val="36"/>
        </w:rPr>
      </w:pPr>
      <w:bookmarkStart w:id="0" w:name="_Toc135558579"/>
      <w:r w:rsidRPr="0086047B">
        <w:rPr>
          <w:sz w:val="36"/>
          <w:szCs w:val="36"/>
        </w:rPr>
        <w:t>Examination Procedures</w:t>
      </w:r>
    </w:p>
    <w:p w14:paraId="0798A8B4" w14:textId="77777777" w:rsidR="003017B2" w:rsidRDefault="003017B2" w:rsidP="003017B2">
      <w:pPr>
        <w:pStyle w:val="Head4-BSA-AML"/>
        <w:jc w:val="center"/>
      </w:pPr>
      <w:r>
        <w:t>Foreign Branches and Offices of U.S. Banks</w:t>
      </w:r>
      <w:bookmarkEnd w:id="0"/>
    </w:p>
    <w:p w14:paraId="068CC0C9" w14:textId="77777777" w:rsidR="003017B2" w:rsidRPr="00883D93" w:rsidRDefault="003017B2" w:rsidP="003017B2">
      <w:pPr>
        <w:pStyle w:val="Body-BSA-AML"/>
        <w:rPr>
          <w:i/>
        </w:rPr>
      </w:pPr>
      <w:r w:rsidRPr="00883D93">
        <w:rPr>
          <w:rStyle w:val="Head7-BSA-AMLCharChar"/>
        </w:rPr>
        <w:t>Objective.</w:t>
      </w:r>
      <w:r w:rsidRPr="00883D93">
        <w:t xml:space="preserve">  </w:t>
      </w:r>
      <w:r w:rsidRPr="00883D93">
        <w:rPr>
          <w:i/>
        </w:rPr>
        <w:t>Assess the adequacy of the U.S. bank</w:t>
      </w:r>
      <w:r>
        <w:rPr>
          <w:i/>
        </w:rPr>
        <w:t>’</w:t>
      </w:r>
      <w:r w:rsidRPr="00883D93">
        <w:rPr>
          <w:i/>
        </w:rPr>
        <w:t>s systems to manage the risks associated with its foreign branches and offices, and management</w:t>
      </w:r>
      <w:r>
        <w:rPr>
          <w:i/>
        </w:rPr>
        <w:t>’</w:t>
      </w:r>
      <w:r w:rsidRPr="00883D93">
        <w:rPr>
          <w:i/>
        </w:rPr>
        <w:t>s ability to implement effective monitoring and reporting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383"/>
      </w:tblGrid>
      <w:tr w:rsidR="003017B2" w:rsidRPr="00EC4C3D" w14:paraId="6B9A042C" w14:textId="77777777" w:rsidTr="00FD77C2">
        <w:trPr>
          <w:tblHeader/>
        </w:trPr>
        <w:tc>
          <w:tcPr>
            <w:tcW w:w="5508" w:type="dxa"/>
            <w:tcBorders>
              <w:bottom w:val="single" w:sz="4" w:space="0" w:color="auto"/>
            </w:tcBorders>
            <w:shd w:val="clear" w:color="auto" w:fill="E0E0E0"/>
          </w:tcPr>
          <w:p w14:paraId="60CC85C1" w14:textId="77777777" w:rsidR="003017B2" w:rsidRPr="00EC4C3D" w:rsidRDefault="003017B2"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213439CC" w14:textId="77777777" w:rsidR="003017B2" w:rsidRPr="00EC4C3D" w:rsidRDefault="003017B2" w:rsidP="00FD77C2">
            <w:pPr>
              <w:rPr>
                <w:b/>
                <w:sz w:val="28"/>
                <w:szCs w:val="28"/>
              </w:rPr>
            </w:pPr>
            <w:r w:rsidRPr="00EC4C3D">
              <w:rPr>
                <w:b/>
                <w:sz w:val="28"/>
                <w:szCs w:val="28"/>
              </w:rPr>
              <w:t>Comments</w:t>
            </w:r>
          </w:p>
        </w:tc>
      </w:tr>
      <w:tr w:rsidR="003017B2" w:rsidRPr="00EC4C3D" w14:paraId="73C42A39" w14:textId="77777777" w:rsidTr="00FD77C2">
        <w:tc>
          <w:tcPr>
            <w:tcW w:w="5508" w:type="dxa"/>
            <w:shd w:val="clear" w:color="auto" w:fill="auto"/>
          </w:tcPr>
          <w:p w14:paraId="0E9F0D9D" w14:textId="77777777" w:rsidR="003017B2" w:rsidRPr="00EC4C3D" w:rsidRDefault="003017B2" w:rsidP="003017B2">
            <w:pPr>
              <w:numPr>
                <w:ilvl w:val="0"/>
                <w:numId w:val="20"/>
              </w:numPr>
              <w:rPr>
                <w:sz w:val="22"/>
                <w:szCs w:val="22"/>
              </w:rPr>
            </w:pPr>
            <w:r w:rsidRPr="00EC4C3D">
              <w:rPr>
                <w:sz w:val="22"/>
                <w:szCs w:val="22"/>
              </w:rPr>
              <w:t>Review the policies, procedures, and processes related to foreign branches and offices</w:t>
            </w:r>
            <w:r w:rsidRPr="00EC4C3D">
              <w:rPr>
                <w:rStyle w:val="FootnoteReference"/>
                <w:sz w:val="22"/>
                <w:szCs w:val="22"/>
              </w:rPr>
              <w:footnoteReference w:id="1"/>
            </w:r>
            <w:r w:rsidRPr="00EC4C3D">
              <w:rPr>
                <w:sz w:val="22"/>
                <w:szCs w:val="22"/>
              </w:rPr>
              <w:t xml:space="preserve"> to evaluate their adequacy given the activity in relation to the bank’s </w:t>
            </w:r>
            <w:proofErr w:type="gramStart"/>
            <w:r w:rsidRPr="00EC4C3D">
              <w:rPr>
                <w:sz w:val="22"/>
                <w:szCs w:val="22"/>
              </w:rPr>
              <w:t>risk, and</w:t>
            </w:r>
            <w:proofErr w:type="gramEnd"/>
            <w:r w:rsidRPr="00EC4C3D">
              <w:rPr>
                <w:sz w:val="22"/>
                <w:szCs w:val="22"/>
              </w:rPr>
              <w:t xml:space="preserve"> assess whether the controls are adequate to reasonably protect the bank from money laundering and terrorist financing.</w:t>
            </w:r>
          </w:p>
        </w:tc>
        <w:tc>
          <w:tcPr>
            <w:tcW w:w="5508" w:type="dxa"/>
            <w:shd w:val="clear" w:color="auto" w:fill="auto"/>
          </w:tcPr>
          <w:p w14:paraId="06D9FCCE" w14:textId="77777777" w:rsidR="003017B2" w:rsidRPr="00EC4C3D" w:rsidRDefault="003017B2" w:rsidP="00FD77C2">
            <w:pPr>
              <w:rPr>
                <w:sz w:val="22"/>
                <w:szCs w:val="22"/>
              </w:rPr>
            </w:pPr>
          </w:p>
        </w:tc>
      </w:tr>
      <w:tr w:rsidR="003017B2" w:rsidRPr="00EC4C3D" w14:paraId="19090347" w14:textId="77777777" w:rsidTr="00FD77C2">
        <w:tc>
          <w:tcPr>
            <w:tcW w:w="5508" w:type="dxa"/>
            <w:shd w:val="clear" w:color="auto" w:fill="auto"/>
          </w:tcPr>
          <w:p w14:paraId="4794C02C" w14:textId="77777777" w:rsidR="003017B2" w:rsidRPr="00EC4C3D" w:rsidRDefault="003017B2" w:rsidP="003017B2">
            <w:pPr>
              <w:numPr>
                <w:ilvl w:val="0"/>
                <w:numId w:val="20"/>
              </w:numPr>
              <w:rPr>
                <w:sz w:val="22"/>
                <w:szCs w:val="22"/>
              </w:rPr>
            </w:pPr>
            <w:r w:rsidRPr="00EC4C3D">
              <w:rPr>
                <w:bCs/>
                <w:sz w:val="22"/>
                <w:szCs w:val="22"/>
              </w:rPr>
              <w:t>On the basis of</w:t>
            </w:r>
            <w:r w:rsidRPr="00EC4C3D">
              <w:rPr>
                <w:sz w:val="22"/>
                <w:szCs w:val="22"/>
              </w:rPr>
              <w:t xml:space="preserve"> a review of MIS and internal risk rating factors, determine whether the U.S. bank’s head office </w:t>
            </w:r>
            <w:r w:rsidRPr="00EC4C3D">
              <w:rPr>
                <w:iCs/>
                <w:sz w:val="22"/>
                <w:szCs w:val="22"/>
              </w:rPr>
              <w:t xml:space="preserve">effectively </w:t>
            </w:r>
            <w:r w:rsidRPr="00EC4C3D">
              <w:rPr>
                <w:sz w:val="22"/>
                <w:szCs w:val="22"/>
              </w:rPr>
              <w:t>identifies and monitors foreign branches and offices, particularly those conducting high</w:t>
            </w:r>
            <w:r>
              <w:rPr>
                <w:sz w:val="22"/>
                <w:szCs w:val="22"/>
              </w:rPr>
              <w:t>er</w:t>
            </w:r>
            <w:r w:rsidRPr="00EC4C3D">
              <w:rPr>
                <w:sz w:val="22"/>
                <w:szCs w:val="22"/>
              </w:rPr>
              <w:t>-risk transactions or located in high</w:t>
            </w:r>
            <w:r>
              <w:rPr>
                <w:sz w:val="22"/>
                <w:szCs w:val="22"/>
              </w:rPr>
              <w:t>er</w:t>
            </w:r>
            <w:r w:rsidRPr="00EC4C3D">
              <w:rPr>
                <w:sz w:val="22"/>
                <w:szCs w:val="22"/>
              </w:rPr>
              <w:t>-risk jurisdictions.</w:t>
            </w:r>
          </w:p>
        </w:tc>
        <w:tc>
          <w:tcPr>
            <w:tcW w:w="5508" w:type="dxa"/>
            <w:shd w:val="clear" w:color="auto" w:fill="auto"/>
          </w:tcPr>
          <w:p w14:paraId="309D2E61" w14:textId="77777777" w:rsidR="003017B2" w:rsidRPr="00EC4C3D" w:rsidRDefault="003017B2" w:rsidP="00FD77C2">
            <w:pPr>
              <w:rPr>
                <w:sz w:val="22"/>
                <w:szCs w:val="22"/>
              </w:rPr>
            </w:pPr>
          </w:p>
        </w:tc>
      </w:tr>
      <w:tr w:rsidR="003017B2" w:rsidRPr="00EC4C3D" w14:paraId="4AAF2DFC" w14:textId="77777777" w:rsidTr="00FD77C2">
        <w:tc>
          <w:tcPr>
            <w:tcW w:w="5508" w:type="dxa"/>
            <w:shd w:val="clear" w:color="auto" w:fill="auto"/>
          </w:tcPr>
          <w:p w14:paraId="09CF6B93" w14:textId="77777777" w:rsidR="003017B2" w:rsidRPr="00EC4C3D" w:rsidRDefault="003017B2" w:rsidP="003017B2">
            <w:pPr>
              <w:numPr>
                <w:ilvl w:val="0"/>
                <w:numId w:val="20"/>
              </w:numPr>
              <w:rPr>
                <w:bCs/>
                <w:sz w:val="22"/>
                <w:szCs w:val="22"/>
              </w:rPr>
            </w:pPr>
            <w:r w:rsidRPr="00EC4C3D">
              <w:rPr>
                <w:sz w:val="22"/>
                <w:szCs w:val="22"/>
              </w:rPr>
              <w:t xml:space="preserve">Determine whether the U.S. bank’s head office system for monitoring foreign branches and offices and detecting unusual or suspicious activities at those branches and offices is adequate given the bank’s size, complexity, location, and types of customer relationships.  Determine whether the host country requires reporting of suspicious activities and, if permitted and available, review those reports.  Determine whether this information is provided to the U.S. bank’s head office and filtered into a bank-wide or, if appropriate, a </w:t>
            </w:r>
            <w:r>
              <w:rPr>
                <w:sz w:val="22"/>
                <w:szCs w:val="22"/>
              </w:rPr>
              <w:t>firm</w:t>
            </w:r>
            <w:r w:rsidRPr="00EC4C3D">
              <w:rPr>
                <w:sz w:val="22"/>
                <w:szCs w:val="22"/>
              </w:rPr>
              <w:t>-wide assessment of suspicious activities.</w:t>
            </w:r>
          </w:p>
        </w:tc>
        <w:tc>
          <w:tcPr>
            <w:tcW w:w="5508" w:type="dxa"/>
            <w:shd w:val="clear" w:color="auto" w:fill="auto"/>
          </w:tcPr>
          <w:p w14:paraId="755EA364" w14:textId="77777777" w:rsidR="003017B2" w:rsidRPr="00EC4C3D" w:rsidRDefault="003017B2" w:rsidP="00FD77C2">
            <w:pPr>
              <w:rPr>
                <w:sz w:val="22"/>
                <w:szCs w:val="22"/>
              </w:rPr>
            </w:pPr>
          </w:p>
        </w:tc>
      </w:tr>
      <w:tr w:rsidR="003017B2" w:rsidRPr="00EC4C3D" w14:paraId="7F2AB824" w14:textId="77777777" w:rsidTr="00FD77C2">
        <w:tc>
          <w:tcPr>
            <w:tcW w:w="5508" w:type="dxa"/>
            <w:shd w:val="clear" w:color="auto" w:fill="auto"/>
          </w:tcPr>
          <w:p w14:paraId="3D8403B9" w14:textId="77777777" w:rsidR="003017B2" w:rsidRPr="00EC4C3D" w:rsidRDefault="003017B2" w:rsidP="003017B2">
            <w:pPr>
              <w:numPr>
                <w:ilvl w:val="0"/>
                <w:numId w:val="20"/>
              </w:numPr>
              <w:rPr>
                <w:sz w:val="22"/>
                <w:szCs w:val="22"/>
              </w:rPr>
            </w:pPr>
            <w:r w:rsidRPr="00EC4C3D">
              <w:rPr>
                <w:sz w:val="22"/>
                <w:szCs w:val="22"/>
              </w:rPr>
              <w:t>Review the bank’s tiering or organizational structure report, which should include a list of all legal entities and the countries in which they are registered.  Determine the locations of foreign branches and offices, including the foreign regulatory environment and the degree of access by U.S. regulators for on-site examinations and customer records.</w:t>
            </w:r>
          </w:p>
        </w:tc>
        <w:tc>
          <w:tcPr>
            <w:tcW w:w="5508" w:type="dxa"/>
            <w:shd w:val="clear" w:color="auto" w:fill="auto"/>
          </w:tcPr>
          <w:p w14:paraId="0C8FAE9F" w14:textId="77777777" w:rsidR="003017B2" w:rsidRPr="00EC4C3D" w:rsidRDefault="003017B2" w:rsidP="00FD77C2">
            <w:pPr>
              <w:rPr>
                <w:sz w:val="22"/>
                <w:szCs w:val="22"/>
              </w:rPr>
            </w:pPr>
          </w:p>
        </w:tc>
      </w:tr>
      <w:tr w:rsidR="003017B2" w:rsidRPr="00EC4C3D" w14:paraId="2AE207BF" w14:textId="77777777" w:rsidTr="00FD77C2">
        <w:tc>
          <w:tcPr>
            <w:tcW w:w="5508" w:type="dxa"/>
            <w:shd w:val="clear" w:color="auto" w:fill="auto"/>
          </w:tcPr>
          <w:p w14:paraId="24E727A1" w14:textId="77777777" w:rsidR="003017B2" w:rsidRPr="00EC4C3D" w:rsidRDefault="003017B2" w:rsidP="003017B2">
            <w:pPr>
              <w:numPr>
                <w:ilvl w:val="0"/>
                <w:numId w:val="20"/>
              </w:numPr>
              <w:rPr>
                <w:sz w:val="22"/>
                <w:szCs w:val="22"/>
              </w:rPr>
            </w:pPr>
            <w:r w:rsidRPr="00EC4C3D">
              <w:rPr>
                <w:sz w:val="22"/>
                <w:szCs w:val="22"/>
              </w:rPr>
              <w:t>Review any partnering or outsourcing relationships of foreign branches and offices.  Determine whether the relationship is consistent with the bank’s AML program.</w:t>
            </w:r>
          </w:p>
        </w:tc>
        <w:tc>
          <w:tcPr>
            <w:tcW w:w="5508" w:type="dxa"/>
            <w:shd w:val="clear" w:color="auto" w:fill="auto"/>
          </w:tcPr>
          <w:p w14:paraId="52E80A5A" w14:textId="77777777" w:rsidR="003017B2" w:rsidRPr="00EC4C3D" w:rsidRDefault="003017B2" w:rsidP="00FD77C2">
            <w:pPr>
              <w:rPr>
                <w:sz w:val="22"/>
                <w:szCs w:val="22"/>
              </w:rPr>
            </w:pPr>
          </w:p>
        </w:tc>
      </w:tr>
      <w:tr w:rsidR="003017B2" w:rsidRPr="00EC4C3D" w14:paraId="1930B771" w14:textId="77777777" w:rsidTr="00FD77C2">
        <w:tc>
          <w:tcPr>
            <w:tcW w:w="5508" w:type="dxa"/>
            <w:shd w:val="clear" w:color="auto" w:fill="auto"/>
          </w:tcPr>
          <w:p w14:paraId="3C4FF730" w14:textId="77777777" w:rsidR="003017B2" w:rsidRPr="00EC4C3D" w:rsidRDefault="003017B2" w:rsidP="003017B2">
            <w:pPr>
              <w:numPr>
                <w:ilvl w:val="0"/>
                <w:numId w:val="20"/>
              </w:numPr>
              <w:rPr>
                <w:sz w:val="22"/>
                <w:szCs w:val="22"/>
              </w:rPr>
            </w:pPr>
            <w:r w:rsidRPr="00EC4C3D">
              <w:rPr>
                <w:sz w:val="22"/>
                <w:szCs w:val="22"/>
              </w:rPr>
              <w:t>Determine the type of products, services, customers, entities, and geographic locations served by the foreign branches and offices.  Review the risk assessments of the foreign branches and offices.</w:t>
            </w:r>
          </w:p>
        </w:tc>
        <w:tc>
          <w:tcPr>
            <w:tcW w:w="5508" w:type="dxa"/>
            <w:shd w:val="clear" w:color="auto" w:fill="auto"/>
          </w:tcPr>
          <w:p w14:paraId="62CACD3E" w14:textId="77777777" w:rsidR="003017B2" w:rsidRPr="00EC4C3D" w:rsidRDefault="003017B2" w:rsidP="00FD77C2">
            <w:pPr>
              <w:rPr>
                <w:sz w:val="22"/>
                <w:szCs w:val="22"/>
              </w:rPr>
            </w:pPr>
          </w:p>
        </w:tc>
      </w:tr>
      <w:tr w:rsidR="003017B2" w:rsidRPr="00EC4C3D" w14:paraId="5A74FD0E" w14:textId="77777777" w:rsidTr="00FD77C2">
        <w:tc>
          <w:tcPr>
            <w:tcW w:w="5508" w:type="dxa"/>
            <w:shd w:val="clear" w:color="auto" w:fill="auto"/>
          </w:tcPr>
          <w:p w14:paraId="7CFA1D73" w14:textId="77777777" w:rsidR="003017B2" w:rsidRPr="00EC4C3D" w:rsidRDefault="003017B2" w:rsidP="003017B2">
            <w:pPr>
              <w:numPr>
                <w:ilvl w:val="0"/>
                <w:numId w:val="20"/>
              </w:numPr>
              <w:rPr>
                <w:sz w:val="22"/>
                <w:szCs w:val="22"/>
              </w:rPr>
            </w:pPr>
            <w:r w:rsidRPr="00EC4C3D">
              <w:rPr>
                <w:sz w:val="22"/>
                <w:szCs w:val="22"/>
              </w:rPr>
              <w:t xml:space="preserve">Review the management, compliance, and audit structure of the foreign branches and offices.  Identify </w:t>
            </w:r>
            <w:r w:rsidRPr="00EC4C3D">
              <w:rPr>
                <w:sz w:val="22"/>
                <w:szCs w:val="22"/>
              </w:rPr>
              <w:lastRenderedPageBreak/>
              <w:t>the decisions that are made at the bank’s U.S. head office level versus those that are made at the foreign branch or office.</w:t>
            </w:r>
          </w:p>
        </w:tc>
        <w:tc>
          <w:tcPr>
            <w:tcW w:w="5508" w:type="dxa"/>
            <w:shd w:val="clear" w:color="auto" w:fill="auto"/>
          </w:tcPr>
          <w:p w14:paraId="2248B5D9" w14:textId="77777777" w:rsidR="003017B2" w:rsidRPr="00EC4C3D" w:rsidRDefault="003017B2" w:rsidP="00FD77C2">
            <w:pPr>
              <w:rPr>
                <w:sz w:val="22"/>
                <w:szCs w:val="22"/>
              </w:rPr>
            </w:pPr>
          </w:p>
        </w:tc>
      </w:tr>
      <w:tr w:rsidR="003017B2" w:rsidRPr="00EC4C3D" w14:paraId="52407C48" w14:textId="77777777" w:rsidTr="00FD77C2">
        <w:tc>
          <w:tcPr>
            <w:tcW w:w="5508" w:type="dxa"/>
            <w:shd w:val="clear" w:color="auto" w:fill="auto"/>
          </w:tcPr>
          <w:p w14:paraId="551CD6E7" w14:textId="77777777" w:rsidR="003017B2" w:rsidRPr="00EC4C3D" w:rsidRDefault="003017B2" w:rsidP="003017B2">
            <w:pPr>
              <w:numPr>
                <w:ilvl w:val="0"/>
                <w:numId w:val="20"/>
              </w:numPr>
              <w:rPr>
                <w:sz w:val="22"/>
                <w:szCs w:val="22"/>
              </w:rPr>
            </w:pPr>
            <w:r w:rsidRPr="00EC4C3D">
              <w:rPr>
                <w:sz w:val="22"/>
                <w:szCs w:val="22"/>
              </w:rPr>
              <w:t>Determine the involvement of the U.S. bank’s head office in managing and monitoring foreign branches and offices.  Conduct a preliminary evaluation of the foreign branches or offices through discussions with senior management at the U.S. bank’s head office (e.g., operations, customers, entities, jurisdictions, products, services, management strategies, audit programs, anticipated product lines, management changes, branch expansions, AML risks, and AML programs).  Similar discussions should occur with management of the foreign branches and offices, particularly those that may be considered higher risk.</w:t>
            </w:r>
          </w:p>
        </w:tc>
        <w:tc>
          <w:tcPr>
            <w:tcW w:w="5508" w:type="dxa"/>
            <w:shd w:val="clear" w:color="auto" w:fill="auto"/>
          </w:tcPr>
          <w:p w14:paraId="4E6D4D6F" w14:textId="77777777" w:rsidR="003017B2" w:rsidRPr="00EC4C3D" w:rsidRDefault="003017B2" w:rsidP="00FD77C2">
            <w:pPr>
              <w:rPr>
                <w:sz w:val="22"/>
                <w:szCs w:val="22"/>
              </w:rPr>
            </w:pPr>
          </w:p>
        </w:tc>
      </w:tr>
      <w:tr w:rsidR="003017B2" w:rsidRPr="00EC4C3D" w14:paraId="0FE818B0" w14:textId="77777777" w:rsidTr="00FD77C2">
        <w:tc>
          <w:tcPr>
            <w:tcW w:w="5508" w:type="dxa"/>
            <w:shd w:val="clear" w:color="auto" w:fill="auto"/>
          </w:tcPr>
          <w:p w14:paraId="0EECB1A6" w14:textId="77777777" w:rsidR="003017B2" w:rsidRPr="00EC4C3D" w:rsidRDefault="003017B2" w:rsidP="003017B2">
            <w:pPr>
              <w:numPr>
                <w:ilvl w:val="0"/>
                <w:numId w:val="20"/>
              </w:numPr>
              <w:rPr>
                <w:sz w:val="22"/>
                <w:szCs w:val="22"/>
              </w:rPr>
            </w:pPr>
            <w:r w:rsidRPr="00EC4C3D">
              <w:rPr>
                <w:sz w:val="22"/>
                <w:szCs w:val="22"/>
              </w:rPr>
              <w:t>Coordinate with the host country supervisor and, if applicable, U.S. federal and state regulatory agencies.  Discuss their assessment of the foreign branches’ and offices’ compliance with local laws.  Determine whether there are any restrictions on materials that may be reviewed, copied, or taken out of the country.</w:t>
            </w:r>
          </w:p>
        </w:tc>
        <w:tc>
          <w:tcPr>
            <w:tcW w:w="5508" w:type="dxa"/>
            <w:shd w:val="clear" w:color="auto" w:fill="auto"/>
          </w:tcPr>
          <w:p w14:paraId="2967D877" w14:textId="77777777" w:rsidR="003017B2" w:rsidRPr="00EC4C3D" w:rsidRDefault="003017B2" w:rsidP="00FD77C2">
            <w:pPr>
              <w:rPr>
                <w:sz w:val="22"/>
                <w:szCs w:val="22"/>
              </w:rPr>
            </w:pPr>
          </w:p>
        </w:tc>
      </w:tr>
      <w:tr w:rsidR="003017B2" w:rsidRPr="00EC4C3D" w14:paraId="6B483EA5" w14:textId="77777777" w:rsidTr="00FD77C2">
        <w:tc>
          <w:tcPr>
            <w:tcW w:w="5508" w:type="dxa"/>
            <w:shd w:val="clear" w:color="auto" w:fill="auto"/>
          </w:tcPr>
          <w:p w14:paraId="5607C80A" w14:textId="77777777" w:rsidR="003017B2" w:rsidRPr="00EC4C3D" w:rsidRDefault="003017B2" w:rsidP="003017B2">
            <w:pPr>
              <w:pStyle w:val="NumberedBSA-AMLList"/>
              <w:numPr>
                <w:ilvl w:val="0"/>
                <w:numId w:val="20"/>
              </w:numPr>
              <w:spacing w:after="0"/>
              <w:rPr>
                <w:sz w:val="22"/>
                <w:szCs w:val="22"/>
              </w:rPr>
            </w:pPr>
            <w:r w:rsidRPr="00EC4C3D">
              <w:rPr>
                <w:sz w:val="22"/>
                <w:szCs w:val="22"/>
              </w:rPr>
              <w:t>If available, review the following:</w:t>
            </w:r>
          </w:p>
          <w:p w14:paraId="03921901" w14:textId="77777777" w:rsidR="003017B2" w:rsidRPr="00EC4C3D" w:rsidRDefault="003017B2" w:rsidP="003017B2">
            <w:pPr>
              <w:pStyle w:val="Bulletlist2ndlevel-BSA-AML"/>
              <w:numPr>
                <w:ilvl w:val="0"/>
                <w:numId w:val="21"/>
              </w:numPr>
              <w:tabs>
                <w:tab w:val="left" w:pos="360"/>
              </w:tabs>
              <w:spacing w:after="0"/>
              <w:rPr>
                <w:sz w:val="22"/>
                <w:szCs w:val="22"/>
              </w:rPr>
            </w:pPr>
            <w:r w:rsidRPr="00EC4C3D">
              <w:rPr>
                <w:sz w:val="22"/>
                <w:szCs w:val="22"/>
              </w:rPr>
              <w:t>Previous regulatory examination reports.</w:t>
            </w:r>
          </w:p>
          <w:p w14:paraId="16D5E806" w14:textId="77777777" w:rsidR="003017B2" w:rsidRPr="00EC4C3D" w:rsidRDefault="003017B2" w:rsidP="003017B2">
            <w:pPr>
              <w:pStyle w:val="Bulletlist2ndlevel-BSA-AML"/>
              <w:numPr>
                <w:ilvl w:val="0"/>
                <w:numId w:val="21"/>
              </w:numPr>
              <w:tabs>
                <w:tab w:val="left" w:pos="360"/>
              </w:tabs>
              <w:spacing w:after="0"/>
              <w:rPr>
                <w:sz w:val="22"/>
                <w:szCs w:val="22"/>
              </w:rPr>
            </w:pPr>
            <w:r w:rsidRPr="00EC4C3D">
              <w:rPr>
                <w:sz w:val="22"/>
                <w:szCs w:val="22"/>
              </w:rPr>
              <w:t>Host country’s regulatory examination report.</w:t>
            </w:r>
          </w:p>
          <w:p w14:paraId="2732EB8C" w14:textId="77777777" w:rsidR="003017B2" w:rsidRPr="00EC4C3D" w:rsidRDefault="003017B2" w:rsidP="003017B2">
            <w:pPr>
              <w:pStyle w:val="Bulletlist2ndlevel-BSA-AML"/>
              <w:numPr>
                <w:ilvl w:val="0"/>
                <w:numId w:val="21"/>
              </w:numPr>
              <w:tabs>
                <w:tab w:val="left" w:pos="360"/>
              </w:tabs>
              <w:spacing w:after="0"/>
              <w:rPr>
                <w:sz w:val="22"/>
                <w:szCs w:val="22"/>
              </w:rPr>
            </w:pPr>
            <w:r w:rsidRPr="00EC4C3D">
              <w:rPr>
                <w:sz w:val="22"/>
                <w:szCs w:val="22"/>
              </w:rPr>
              <w:t>Audit reports and supporting documentation.</w:t>
            </w:r>
          </w:p>
          <w:p w14:paraId="67832AA1" w14:textId="77777777" w:rsidR="003017B2" w:rsidRPr="00EC4C3D" w:rsidRDefault="003017B2" w:rsidP="003017B2">
            <w:pPr>
              <w:numPr>
                <w:ilvl w:val="0"/>
                <w:numId w:val="21"/>
              </w:numPr>
              <w:rPr>
                <w:sz w:val="22"/>
                <w:szCs w:val="22"/>
              </w:rPr>
            </w:pPr>
            <w:r w:rsidRPr="00EC4C3D">
              <w:rPr>
                <w:sz w:val="22"/>
                <w:szCs w:val="22"/>
              </w:rPr>
              <w:t>Compliance reviews and supporting documentation.</w:t>
            </w:r>
          </w:p>
        </w:tc>
        <w:tc>
          <w:tcPr>
            <w:tcW w:w="5508" w:type="dxa"/>
            <w:shd w:val="clear" w:color="auto" w:fill="auto"/>
          </w:tcPr>
          <w:p w14:paraId="2E075B59" w14:textId="77777777" w:rsidR="003017B2" w:rsidRPr="00EC4C3D" w:rsidRDefault="003017B2" w:rsidP="00FD77C2">
            <w:pPr>
              <w:rPr>
                <w:sz w:val="22"/>
                <w:szCs w:val="22"/>
              </w:rPr>
            </w:pPr>
          </w:p>
        </w:tc>
      </w:tr>
      <w:tr w:rsidR="003017B2" w:rsidRPr="00EC4C3D" w14:paraId="6A2185E9" w14:textId="77777777" w:rsidTr="00FD77C2">
        <w:tc>
          <w:tcPr>
            <w:tcW w:w="5508" w:type="dxa"/>
            <w:shd w:val="clear" w:color="auto" w:fill="auto"/>
          </w:tcPr>
          <w:p w14:paraId="4D982D90" w14:textId="77777777" w:rsidR="003017B2" w:rsidRPr="00EC4C3D" w:rsidRDefault="003017B2" w:rsidP="003017B2">
            <w:pPr>
              <w:pStyle w:val="NumberedBSA-AMLList"/>
              <w:numPr>
                <w:ilvl w:val="0"/>
                <w:numId w:val="20"/>
              </w:numPr>
              <w:spacing w:after="0"/>
              <w:rPr>
                <w:sz w:val="22"/>
                <w:szCs w:val="22"/>
              </w:rPr>
            </w:pPr>
            <w:r w:rsidRPr="00EC4C3D">
              <w:rPr>
                <w:sz w:val="22"/>
                <w:szCs w:val="22"/>
              </w:rPr>
              <w:t>If appropriate, for additional guidance refer to the core examination procedures, “O</w:t>
            </w:r>
            <w:r>
              <w:rPr>
                <w:sz w:val="22"/>
                <w:szCs w:val="22"/>
              </w:rPr>
              <w:t>ffice of Foreign Assets Control</w:t>
            </w:r>
            <w:r w:rsidRPr="00EC4C3D">
              <w:rPr>
                <w:sz w:val="22"/>
                <w:szCs w:val="22"/>
              </w:rPr>
              <w:t>”.</w:t>
            </w:r>
          </w:p>
        </w:tc>
        <w:tc>
          <w:tcPr>
            <w:tcW w:w="5508" w:type="dxa"/>
            <w:shd w:val="clear" w:color="auto" w:fill="auto"/>
          </w:tcPr>
          <w:p w14:paraId="6218BD42" w14:textId="77777777" w:rsidR="003017B2" w:rsidRPr="00EC4C3D" w:rsidRDefault="003017B2" w:rsidP="00FD77C2">
            <w:pPr>
              <w:rPr>
                <w:sz w:val="22"/>
                <w:szCs w:val="22"/>
              </w:rPr>
            </w:pPr>
          </w:p>
        </w:tc>
      </w:tr>
      <w:tr w:rsidR="003017B2" w:rsidRPr="00EC4C3D" w14:paraId="620B3C98" w14:textId="77777777" w:rsidTr="00FD77C2">
        <w:tc>
          <w:tcPr>
            <w:tcW w:w="11016" w:type="dxa"/>
            <w:gridSpan w:val="2"/>
            <w:shd w:val="clear" w:color="auto" w:fill="auto"/>
          </w:tcPr>
          <w:p w14:paraId="231B1BEE" w14:textId="77777777" w:rsidR="003017B2" w:rsidRPr="00EC4C3D" w:rsidRDefault="003017B2" w:rsidP="00FD77C2">
            <w:pPr>
              <w:rPr>
                <w:b/>
                <w:sz w:val="28"/>
                <w:szCs w:val="28"/>
              </w:rPr>
            </w:pPr>
            <w:r w:rsidRPr="00EC4C3D">
              <w:rPr>
                <w:b/>
                <w:sz w:val="28"/>
                <w:szCs w:val="28"/>
              </w:rPr>
              <w:t>Transaction Testing</w:t>
            </w:r>
          </w:p>
        </w:tc>
      </w:tr>
      <w:tr w:rsidR="003017B2" w:rsidRPr="00EC4C3D" w14:paraId="769E16AA" w14:textId="77777777" w:rsidTr="00FD77C2">
        <w:tc>
          <w:tcPr>
            <w:tcW w:w="5508" w:type="dxa"/>
            <w:shd w:val="clear" w:color="auto" w:fill="auto"/>
          </w:tcPr>
          <w:p w14:paraId="642089D4" w14:textId="77777777" w:rsidR="003017B2" w:rsidRPr="00EC4C3D" w:rsidRDefault="003017B2" w:rsidP="003017B2">
            <w:pPr>
              <w:pStyle w:val="NumberedBSA-AMLList"/>
              <w:numPr>
                <w:ilvl w:val="0"/>
                <w:numId w:val="20"/>
              </w:numPr>
              <w:spacing w:after="0"/>
              <w:rPr>
                <w:sz w:val="22"/>
                <w:szCs w:val="22"/>
              </w:rPr>
            </w:pPr>
            <w:r w:rsidRPr="00EC4C3D">
              <w:rPr>
                <w:sz w:val="22"/>
                <w:szCs w:val="22"/>
              </w:rPr>
              <w:t>Make a determination whether transaction testing is feasible.  If feasible on the basis of the bank’s risk assessment of this activity and prior examination and audit reports, select a sample of high</w:t>
            </w:r>
            <w:r>
              <w:rPr>
                <w:sz w:val="22"/>
                <w:szCs w:val="22"/>
              </w:rPr>
              <w:t>er</w:t>
            </w:r>
            <w:r w:rsidRPr="00EC4C3D">
              <w:rPr>
                <w:sz w:val="22"/>
                <w:szCs w:val="22"/>
              </w:rPr>
              <w:t>-risk foreign branch and office activity.  Complete transaction testing from appropriate expanded examination procedures sections (e.g., pouch activity).</w:t>
            </w:r>
          </w:p>
        </w:tc>
        <w:tc>
          <w:tcPr>
            <w:tcW w:w="5508" w:type="dxa"/>
            <w:shd w:val="clear" w:color="auto" w:fill="auto"/>
          </w:tcPr>
          <w:p w14:paraId="4F547876" w14:textId="77777777" w:rsidR="003017B2" w:rsidRPr="00EC4C3D" w:rsidRDefault="003017B2" w:rsidP="00FD77C2">
            <w:pPr>
              <w:rPr>
                <w:sz w:val="22"/>
                <w:szCs w:val="22"/>
              </w:rPr>
            </w:pPr>
          </w:p>
        </w:tc>
      </w:tr>
      <w:tr w:rsidR="003017B2" w:rsidRPr="00EC4C3D" w14:paraId="680E4BF6" w14:textId="77777777" w:rsidTr="00FD77C2">
        <w:tc>
          <w:tcPr>
            <w:tcW w:w="5508" w:type="dxa"/>
            <w:shd w:val="clear" w:color="auto" w:fill="auto"/>
          </w:tcPr>
          <w:p w14:paraId="29D862C2" w14:textId="77777777" w:rsidR="003017B2" w:rsidRPr="00EC4C3D" w:rsidRDefault="003017B2" w:rsidP="003017B2">
            <w:pPr>
              <w:pStyle w:val="NumberedBSA-AMLList"/>
              <w:numPr>
                <w:ilvl w:val="0"/>
                <w:numId w:val="20"/>
              </w:numPr>
              <w:spacing w:after="0"/>
              <w:rPr>
                <w:sz w:val="22"/>
                <w:szCs w:val="22"/>
              </w:rPr>
            </w:pPr>
            <w:r w:rsidRPr="00EC4C3D">
              <w:rPr>
                <w:sz w:val="22"/>
                <w:szCs w:val="22"/>
              </w:rPr>
              <w:t xml:space="preserve">On the basis of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the U.S. bank’s foreign branches and offices.</w:t>
            </w:r>
          </w:p>
        </w:tc>
        <w:tc>
          <w:tcPr>
            <w:tcW w:w="5508" w:type="dxa"/>
            <w:shd w:val="clear" w:color="auto" w:fill="auto"/>
          </w:tcPr>
          <w:p w14:paraId="6D516EA3" w14:textId="77777777" w:rsidR="003017B2" w:rsidRPr="00EC4C3D" w:rsidRDefault="003017B2" w:rsidP="00FD77C2">
            <w:pPr>
              <w:rPr>
                <w:sz w:val="22"/>
                <w:szCs w:val="22"/>
              </w:rPr>
            </w:pPr>
          </w:p>
        </w:tc>
      </w:tr>
    </w:tbl>
    <w:p w14:paraId="44A841C8" w14:textId="77777777" w:rsidR="00666FEA" w:rsidRPr="003017B2" w:rsidRDefault="00666FEA" w:rsidP="003017B2">
      <w:bookmarkStart w:id="1" w:name="_GoBack"/>
      <w:bookmarkEnd w:id="1"/>
    </w:p>
    <w:sectPr w:rsidR="00666FEA" w:rsidRPr="003017B2"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3017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3017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 w:id="1">
    <w:p w14:paraId="07851A2D" w14:textId="77777777" w:rsidR="003017B2" w:rsidRDefault="003017B2" w:rsidP="003017B2">
      <w:pPr>
        <w:pStyle w:val="Bodyfootnote-BSA-AML"/>
      </w:pPr>
      <w:r>
        <w:rPr>
          <w:rStyle w:val="FootnoteReference"/>
        </w:rPr>
        <w:footnoteRef/>
      </w:r>
      <w:r>
        <w:t xml:space="preserve"> Foreign offices include affiliates and subsidiaries.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3017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3017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C31D81"/>
    <w:multiLevelType w:val="hybridMultilevel"/>
    <w:tmpl w:val="92CC0E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3B13F9"/>
    <w:multiLevelType w:val="hybridMultilevel"/>
    <w:tmpl w:val="405EA11C"/>
    <w:lvl w:ilvl="0" w:tplc="FBD6E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6C4BD7"/>
    <w:multiLevelType w:val="hybridMultilevel"/>
    <w:tmpl w:val="E84400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793D9F"/>
    <w:multiLevelType w:val="hybridMultilevel"/>
    <w:tmpl w:val="1BDE8A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83293B"/>
    <w:multiLevelType w:val="hybridMultilevel"/>
    <w:tmpl w:val="DA243F3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EA3949"/>
    <w:multiLevelType w:val="hybridMultilevel"/>
    <w:tmpl w:val="0256E7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12"/>
  </w:num>
  <w:num w:numId="4">
    <w:abstractNumId w:val="15"/>
  </w:num>
  <w:num w:numId="5">
    <w:abstractNumId w:val="3"/>
  </w:num>
  <w:num w:numId="6">
    <w:abstractNumId w:val="19"/>
  </w:num>
  <w:num w:numId="7">
    <w:abstractNumId w:val="9"/>
  </w:num>
  <w:num w:numId="8">
    <w:abstractNumId w:val="18"/>
  </w:num>
  <w:num w:numId="9">
    <w:abstractNumId w:val="16"/>
  </w:num>
  <w:num w:numId="10">
    <w:abstractNumId w:val="2"/>
  </w:num>
  <w:num w:numId="11">
    <w:abstractNumId w:val="11"/>
  </w:num>
  <w:num w:numId="12">
    <w:abstractNumId w:val="6"/>
  </w:num>
  <w:num w:numId="13">
    <w:abstractNumId w:val="20"/>
  </w:num>
  <w:num w:numId="14">
    <w:abstractNumId w:val="14"/>
  </w:num>
  <w:num w:numId="15">
    <w:abstractNumId w:val="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B6182"/>
    <w:rsid w:val="00153D87"/>
    <w:rsid w:val="001C597F"/>
    <w:rsid w:val="00214C57"/>
    <w:rsid w:val="002456DC"/>
    <w:rsid w:val="002C7896"/>
    <w:rsid w:val="003017B2"/>
    <w:rsid w:val="00381955"/>
    <w:rsid w:val="0049515A"/>
    <w:rsid w:val="004B1A48"/>
    <w:rsid w:val="00545344"/>
    <w:rsid w:val="00551E98"/>
    <w:rsid w:val="005A483D"/>
    <w:rsid w:val="005C0EA2"/>
    <w:rsid w:val="005F5D49"/>
    <w:rsid w:val="00644539"/>
    <w:rsid w:val="0066634D"/>
    <w:rsid w:val="00666FEA"/>
    <w:rsid w:val="00693331"/>
    <w:rsid w:val="006938EE"/>
    <w:rsid w:val="00695FE5"/>
    <w:rsid w:val="00711436"/>
    <w:rsid w:val="0074091F"/>
    <w:rsid w:val="007C1396"/>
    <w:rsid w:val="007D2166"/>
    <w:rsid w:val="008218DF"/>
    <w:rsid w:val="0082386F"/>
    <w:rsid w:val="00827065"/>
    <w:rsid w:val="008C1A62"/>
    <w:rsid w:val="008D1B70"/>
    <w:rsid w:val="0092155F"/>
    <w:rsid w:val="00942A1C"/>
    <w:rsid w:val="009A7808"/>
    <w:rsid w:val="00A13081"/>
    <w:rsid w:val="00A33330"/>
    <w:rsid w:val="00A37C93"/>
    <w:rsid w:val="00A9534A"/>
    <w:rsid w:val="00AB7A7D"/>
    <w:rsid w:val="00AC3068"/>
    <w:rsid w:val="00B0373F"/>
    <w:rsid w:val="00B57732"/>
    <w:rsid w:val="00BD16CB"/>
    <w:rsid w:val="00C40DD6"/>
    <w:rsid w:val="00C71445"/>
    <w:rsid w:val="00C73169"/>
    <w:rsid w:val="00C7598C"/>
    <w:rsid w:val="00CC10D0"/>
    <w:rsid w:val="00CE1F59"/>
    <w:rsid w:val="00CF0853"/>
    <w:rsid w:val="00CF7AF0"/>
    <w:rsid w:val="00D8007E"/>
    <w:rsid w:val="00D95CB7"/>
    <w:rsid w:val="00DA7E7B"/>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4D86-1F3E-214E-B9E4-8AF7307D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3630</Characters>
  <Application>Microsoft Office Word</Application>
  <DocSecurity>0</DocSecurity>
  <Lines>30</Lines>
  <Paragraphs>8</Paragraphs>
  <ScaleCrop>false</ScaleCrop>
  <Company>CPS</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2018-06-06T15:18:00Z</dcterms:created>
  <dcterms:modified xsi:type="dcterms:W3CDTF">2018-06-06T15:18:00Z</dcterms:modified>
</cp:coreProperties>
</file>