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65EE" w14:textId="5FD3D97D" w:rsidR="00214C57" w:rsidRDefault="00767E2C" w:rsidP="00214C57">
      <w:pPr>
        <w:pStyle w:val="Head4-BSA-AML"/>
        <w:jc w:val="center"/>
      </w:pPr>
      <w:r w:rsidRPr="00767E2C">
        <w:rPr>
          <w:rFonts w:cs="Arial"/>
          <w:szCs w:val="36"/>
        </w:rPr>
        <w:t>Currency Transaction Reporting Examination and Testing Procedures</w:t>
      </w:r>
    </w:p>
    <w:p w14:paraId="653C10A8" w14:textId="653E61FB" w:rsidR="00214C57" w:rsidRPr="00A93677" w:rsidRDefault="00214C57" w:rsidP="00214C57">
      <w:pPr>
        <w:rPr>
          <w:i/>
          <w:sz w:val="24"/>
          <w:szCs w:val="24"/>
        </w:rPr>
      </w:pPr>
      <w:r w:rsidRPr="00A93677">
        <w:rPr>
          <w:rStyle w:val="Head7-BSA-AMLCharChar"/>
          <w:szCs w:val="24"/>
        </w:rPr>
        <w:t>Objective.</w:t>
      </w:r>
      <w:r w:rsidRPr="00A93677">
        <w:rPr>
          <w:sz w:val="24"/>
          <w:szCs w:val="24"/>
        </w:rPr>
        <w:t xml:space="preserve">  </w:t>
      </w:r>
      <w:r w:rsidR="00767E2C" w:rsidRPr="00767E2C">
        <w:rPr>
          <w:i/>
          <w:sz w:val="24"/>
          <w:szCs w:val="24"/>
        </w:rPr>
        <w:t>Assess the bank’s compliance with BSA regulatory requirements for the reporting of currency transactions.</w:t>
      </w:r>
    </w:p>
    <w:p w14:paraId="4C57FBE2" w14:textId="77777777" w:rsidR="00214C57" w:rsidRDefault="00214C57" w:rsidP="00214C5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767E2C" w:rsidRPr="00EC4C3D" w14:paraId="0240326E" w14:textId="77777777" w:rsidTr="00767E2C">
        <w:trPr>
          <w:tblHeader/>
        </w:trPr>
        <w:tc>
          <w:tcPr>
            <w:tcW w:w="5395" w:type="dxa"/>
            <w:tcBorders>
              <w:bottom w:val="single" w:sz="4" w:space="0" w:color="auto"/>
            </w:tcBorders>
            <w:shd w:val="clear" w:color="auto" w:fill="E0E0E0"/>
          </w:tcPr>
          <w:p w14:paraId="755FB5EC" w14:textId="77777777" w:rsidR="00767E2C" w:rsidRPr="00EC4C3D" w:rsidRDefault="00767E2C" w:rsidP="00A81956">
            <w:pPr>
              <w:rPr>
                <w:b/>
                <w:sz w:val="28"/>
                <w:szCs w:val="28"/>
              </w:rPr>
            </w:pPr>
            <w:r w:rsidRPr="00EC4C3D">
              <w:rPr>
                <w:b/>
                <w:sz w:val="28"/>
                <w:szCs w:val="28"/>
              </w:rPr>
              <w:t>Procedure</w:t>
            </w:r>
          </w:p>
        </w:tc>
        <w:tc>
          <w:tcPr>
            <w:tcW w:w="5395" w:type="dxa"/>
            <w:tcBorders>
              <w:bottom w:val="single" w:sz="4" w:space="0" w:color="auto"/>
            </w:tcBorders>
            <w:shd w:val="clear" w:color="auto" w:fill="E0E0E0"/>
          </w:tcPr>
          <w:p w14:paraId="73D30A54" w14:textId="77777777" w:rsidR="00767E2C" w:rsidRPr="00EC4C3D" w:rsidRDefault="00767E2C" w:rsidP="00A81956">
            <w:pPr>
              <w:rPr>
                <w:b/>
                <w:sz w:val="28"/>
                <w:szCs w:val="28"/>
              </w:rPr>
            </w:pPr>
            <w:r w:rsidRPr="00EC4C3D">
              <w:rPr>
                <w:b/>
                <w:sz w:val="28"/>
                <w:szCs w:val="28"/>
              </w:rPr>
              <w:t>Comments</w:t>
            </w:r>
          </w:p>
        </w:tc>
      </w:tr>
      <w:tr w:rsidR="00767E2C" w:rsidRPr="00EC4C3D" w14:paraId="46A24721" w14:textId="77777777" w:rsidTr="00767E2C">
        <w:tc>
          <w:tcPr>
            <w:tcW w:w="5395" w:type="dxa"/>
            <w:shd w:val="clear" w:color="auto" w:fill="auto"/>
          </w:tcPr>
          <w:p w14:paraId="73DB4773" w14:textId="77777777" w:rsidR="00767E2C" w:rsidRPr="009952A6" w:rsidRDefault="00767E2C" w:rsidP="00767E2C">
            <w:pPr>
              <w:pStyle w:val="ListParagraph"/>
              <w:numPr>
                <w:ilvl w:val="0"/>
                <w:numId w:val="24"/>
              </w:numPr>
              <w:spacing w:before="120" w:after="200"/>
              <w:ind w:left="360"/>
              <w:rPr>
                <w:sz w:val="22"/>
                <w:szCs w:val="22"/>
              </w:rPr>
            </w:pPr>
            <w:r w:rsidRPr="009952A6">
              <w:rPr>
                <w:sz w:val="22"/>
                <w:szCs w:val="22"/>
              </w:rPr>
              <w:t xml:space="preserve">Review the bank’s policies, procedures, and processes that address the preparation, filing, and retention of CTRs.  Determine whether the bank adequately addresses the requirements for preparing, filing, and retaining CTRs. </w:t>
            </w:r>
          </w:p>
        </w:tc>
        <w:tc>
          <w:tcPr>
            <w:tcW w:w="5395" w:type="dxa"/>
            <w:shd w:val="clear" w:color="auto" w:fill="auto"/>
          </w:tcPr>
          <w:p w14:paraId="3E510E66" w14:textId="77777777" w:rsidR="00767E2C" w:rsidRPr="009952A6" w:rsidRDefault="00767E2C" w:rsidP="00A81956">
            <w:pPr>
              <w:ind w:left="360"/>
              <w:rPr>
                <w:sz w:val="22"/>
                <w:szCs w:val="22"/>
              </w:rPr>
            </w:pPr>
          </w:p>
        </w:tc>
      </w:tr>
      <w:tr w:rsidR="00767E2C" w:rsidRPr="00EC4C3D" w14:paraId="072DC69A" w14:textId="77777777" w:rsidTr="00767E2C">
        <w:tc>
          <w:tcPr>
            <w:tcW w:w="5395" w:type="dxa"/>
            <w:shd w:val="clear" w:color="auto" w:fill="auto"/>
          </w:tcPr>
          <w:p w14:paraId="5A8FA24A" w14:textId="77777777" w:rsidR="00767E2C" w:rsidRPr="009952A6" w:rsidRDefault="00767E2C" w:rsidP="00767E2C">
            <w:pPr>
              <w:pStyle w:val="ListParagraph"/>
              <w:numPr>
                <w:ilvl w:val="0"/>
                <w:numId w:val="24"/>
              </w:numPr>
              <w:spacing w:before="120" w:after="200"/>
              <w:ind w:left="360"/>
              <w:rPr>
                <w:sz w:val="22"/>
                <w:szCs w:val="22"/>
              </w:rPr>
            </w:pPr>
            <w:r w:rsidRPr="009952A6">
              <w:rPr>
                <w:sz w:val="22"/>
                <w:szCs w:val="22"/>
              </w:rPr>
              <w:t>Review correspondence that the bank has electronically received from FinCEN’s BSA E-Filing System.  Determine the significance of any errors reported by FinCEN and whether management has taken corrective action, when necessary.</w:t>
            </w:r>
          </w:p>
        </w:tc>
        <w:tc>
          <w:tcPr>
            <w:tcW w:w="5395" w:type="dxa"/>
            <w:shd w:val="clear" w:color="auto" w:fill="auto"/>
          </w:tcPr>
          <w:p w14:paraId="5351E0E6" w14:textId="77777777" w:rsidR="00767E2C" w:rsidRPr="009952A6" w:rsidRDefault="00767E2C" w:rsidP="00A81956">
            <w:pPr>
              <w:ind w:left="360"/>
              <w:rPr>
                <w:sz w:val="22"/>
                <w:szCs w:val="22"/>
              </w:rPr>
            </w:pPr>
          </w:p>
        </w:tc>
      </w:tr>
      <w:tr w:rsidR="00767E2C" w:rsidRPr="00EC4C3D" w14:paraId="444443F5" w14:textId="77777777" w:rsidTr="00767E2C">
        <w:tc>
          <w:tcPr>
            <w:tcW w:w="5395" w:type="dxa"/>
            <w:shd w:val="clear" w:color="auto" w:fill="auto"/>
          </w:tcPr>
          <w:p w14:paraId="0228BCC5" w14:textId="77777777" w:rsidR="00767E2C" w:rsidRPr="009952A6" w:rsidRDefault="00767E2C" w:rsidP="00767E2C">
            <w:pPr>
              <w:pStyle w:val="NumberedBSA-AMLList"/>
              <w:numPr>
                <w:ilvl w:val="0"/>
                <w:numId w:val="24"/>
              </w:numPr>
              <w:ind w:left="360"/>
              <w:rPr>
                <w:sz w:val="22"/>
                <w:szCs w:val="22"/>
              </w:rPr>
            </w:pPr>
            <w:r w:rsidRPr="009952A6">
              <w:rPr>
                <w:sz w:val="22"/>
                <w:szCs w:val="22"/>
              </w:rPr>
              <w:t>Review the information technology sources, systems, and processes the bank uses to identify transactions that may be required to be reported in a CTR.  Determine whether the bank appropriately aggregates currency transactions, including throughout bank branch offices.</w:t>
            </w:r>
          </w:p>
        </w:tc>
        <w:tc>
          <w:tcPr>
            <w:tcW w:w="5395" w:type="dxa"/>
            <w:shd w:val="clear" w:color="auto" w:fill="auto"/>
          </w:tcPr>
          <w:p w14:paraId="6FDE753B" w14:textId="77777777" w:rsidR="00767E2C" w:rsidRPr="009952A6" w:rsidRDefault="00767E2C" w:rsidP="00A81956">
            <w:pPr>
              <w:ind w:left="360"/>
              <w:rPr>
                <w:sz w:val="22"/>
                <w:szCs w:val="22"/>
              </w:rPr>
            </w:pPr>
          </w:p>
        </w:tc>
      </w:tr>
      <w:tr w:rsidR="00767E2C" w:rsidRPr="00EC4C3D" w14:paraId="7345D340" w14:textId="77777777" w:rsidTr="00767E2C">
        <w:tc>
          <w:tcPr>
            <w:tcW w:w="5395" w:type="dxa"/>
            <w:shd w:val="clear" w:color="auto" w:fill="auto"/>
          </w:tcPr>
          <w:p w14:paraId="09EFF196" w14:textId="77777777" w:rsidR="00767E2C" w:rsidRPr="009952A6" w:rsidRDefault="00767E2C" w:rsidP="00767E2C">
            <w:pPr>
              <w:pStyle w:val="NumberedBSA-AMLList"/>
              <w:numPr>
                <w:ilvl w:val="0"/>
                <w:numId w:val="24"/>
              </w:numPr>
              <w:ind w:left="360"/>
              <w:rPr>
                <w:sz w:val="22"/>
                <w:szCs w:val="22"/>
              </w:rPr>
            </w:pPr>
            <w:r w:rsidRPr="009952A6">
              <w:rPr>
                <w:sz w:val="22"/>
                <w:szCs w:val="22"/>
              </w:rPr>
              <w:t xml:space="preserve">Determine whether the bank’s internal controls are designed to assure ongoing compliance with CTR requirements and are commensurate with the bank’s size or complexity and organizational structure.  This may include reviewing processes for overriding currency aggregation systems.  </w:t>
            </w:r>
          </w:p>
        </w:tc>
        <w:tc>
          <w:tcPr>
            <w:tcW w:w="5395" w:type="dxa"/>
            <w:shd w:val="clear" w:color="auto" w:fill="auto"/>
          </w:tcPr>
          <w:p w14:paraId="5513CA54" w14:textId="77777777" w:rsidR="00767E2C" w:rsidRPr="009952A6" w:rsidRDefault="00767E2C" w:rsidP="00A81956">
            <w:pPr>
              <w:ind w:left="360"/>
              <w:rPr>
                <w:sz w:val="22"/>
                <w:szCs w:val="22"/>
              </w:rPr>
            </w:pPr>
          </w:p>
        </w:tc>
      </w:tr>
      <w:tr w:rsidR="00767E2C" w:rsidRPr="00EC4C3D" w14:paraId="1C9C39F5" w14:textId="77777777" w:rsidTr="00767E2C">
        <w:tc>
          <w:tcPr>
            <w:tcW w:w="5395" w:type="dxa"/>
            <w:shd w:val="clear" w:color="auto" w:fill="auto"/>
          </w:tcPr>
          <w:p w14:paraId="58C63D2D" w14:textId="77777777" w:rsidR="00767E2C" w:rsidRPr="009952A6" w:rsidRDefault="00767E2C" w:rsidP="00767E2C">
            <w:pPr>
              <w:pStyle w:val="NumberedBSA-AMLList"/>
              <w:numPr>
                <w:ilvl w:val="0"/>
                <w:numId w:val="24"/>
              </w:numPr>
              <w:ind w:left="360"/>
              <w:rPr>
                <w:sz w:val="22"/>
                <w:szCs w:val="22"/>
              </w:rPr>
            </w:pPr>
            <w:r w:rsidRPr="009952A6">
              <w:rPr>
                <w:sz w:val="22"/>
                <w:szCs w:val="22"/>
              </w:rPr>
              <w:t>Select a sample of filed CTRs (electronic format or paper copies) to determine whether:</w:t>
            </w:r>
          </w:p>
          <w:p w14:paraId="4825DC29" w14:textId="77777777" w:rsidR="00767E2C" w:rsidRPr="009952A6" w:rsidRDefault="00767E2C" w:rsidP="00767E2C">
            <w:pPr>
              <w:pStyle w:val="Bulletlist2ndlevel-BSA-AML"/>
              <w:numPr>
                <w:ilvl w:val="0"/>
                <w:numId w:val="25"/>
              </w:numPr>
              <w:tabs>
                <w:tab w:val="left" w:pos="360"/>
              </w:tabs>
              <w:spacing w:before="120" w:after="120"/>
              <w:rPr>
                <w:sz w:val="22"/>
                <w:szCs w:val="22"/>
              </w:rPr>
            </w:pPr>
            <w:r w:rsidRPr="009952A6">
              <w:rPr>
                <w:sz w:val="22"/>
                <w:szCs w:val="22"/>
              </w:rPr>
              <w:t>CTRs are filed in accordance with FinCEN instructions for currency transactions identified by the information technology sources, systems, and processes the bank uses.</w:t>
            </w:r>
          </w:p>
          <w:p w14:paraId="6F7BF18D" w14:textId="77777777" w:rsidR="00767E2C" w:rsidRPr="009952A6" w:rsidRDefault="00767E2C" w:rsidP="00767E2C">
            <w:pPr>
              <w:pStyle w:val="ListParagraph"/>
              <w:numPr>
                <w:ilvl w:val="0"/>
                <w:numId w:val="25"/>
              </w:numPr>
              <w:spacing w:before="120" w:after="120"/>
              <w:rPr>
                <w:sz w:val="22"/>
                <w:szCs w:val="22"/>
              </w:rPr>
            </w:pPr>
            <w:r w:rsidRPr="009952A6">
              <w:rPr>
                <w:sz w:val="22"/>
                <w:szCs w:val="22"/>
              </w:rPr>
              <w:t xml:space="preserve">CTRs are filed within 15 calendar days after the date of the transaction(s).  </w:t>
            </w:r>
          </w:p>
          <w:p w14:paraId="00EE9434" w14:textId="77777777" w:rsidR="00767E2C" w:rsidRPr="009952A6" w:rsidRDefault="00767E2C" w:rsidP="00767E2C">
            <w:pPr>
              <w:pStyle w:val="ListParagraph"/>
              <w:numPr>
                <w:ilvl w:val="0"/>
                <w:numId w:val="25"/>
              </w:numPr>
              <w:spacing w:before="120" w:after="120"/>
              <w:rPr>
                <w:sz w:val="22"/>
                <w:szCs w:val="22"/>
              </w:rPr>
            </w:pPr>
            <w:r w:rsidRPr="009952A6">
              <w:rPr>
                <w:sz w:val="22"/>
                <w:szCs w:val="22"/>
              </w:rPr>
              <w:t>CTRs filed contain accurate and complete information.  Determine whether management has taken corrective action when errors are identified internally or by FinCEN’s BSA E-Filing System.</w:t>
            </w:r>
          </w:p>
          <w:p w14:paraId="5BB84A9B" w14:textId="77777777" w:rsidR="00767E2C" w:rsidRPr="009952A6" w:rsidRDefault="00767E2C" w:rsidP="00767E2C">
            <w:pPr>
              <w:pStyle w:val="Bulletlist2ndlevel-BSA-AML"/>
              <w:numPr>
                <w:ilvl w:val="0"/>
                <w:numId w:val="25"/>
              </w:numPr>
              <w:tabs>
                <w:tab w:val="left" w:pos="360"/>
              </w:tabs>
              <w:spacing w:before="120" w:after="120"/>
              <w:rPr>
                <w:sz w:val="22"/>
                <w:szCs w:val="22"/>
              </w:rPr>
            </w:pPr>
            <w:r w:rsidRPr="009952A6">
              <w:rPr>
                <w:sz w:val="22"/>
                <w:szCs w:val="22"/>
              </w:rPr>
              <w:t>Any discrepancies exist between the bank’s records of CTRs and the CTRs reflected in the BSA reporting database.</w:t>
            </w:r>
          </w:p>
          <w:p w14:paraId="48131398" w14:textId="77777777" w:rsidR="00767E2C" w:rsidRPr="009952A6" w:rsidRDefault="00767E2C" w:rsidP="00767E2C">
            <w:pPr>
              <w:pStyle w:val="Bulletlist2ndlevel-BSA-AML"/>
              <w:numPr>
                <w:ilvl w:val="0"/>
                <w:numId w:val="25"/>
              </w:numPr>
              <w:tabs>
                <w:tab w:val="left" w:pos="360"/>
              </w:tabs>
              <w:spacing w:before="120" w:after="120"/>
              <w:rPr>
                <w:sz w:val="22"/>
                <w:szCs w:val="22"/>
              </w:rPr>
            </w:pPr>
            <w:r w:rsidRPr="009952A6">
              <w:rPr>
                <w:sz w:val="22"/>
                <w:szCs w:val="22"/>
              </w:rPr>
              <w:lastRenderedPageBreak/>
              <w:t>The bank retains copies (electronic format or paper copies) of CTRs for five years from the date of the report.</w:t>
            </w:r>
          </w:p>
        </w:tc>
        <w:tc>
          <w:tcPr>
            <w:tcW w:w="5395" w:type="dxa"/>
            <w:shd w:val="clear" w:color="auto" w:fill="auto"/>
          </w:tcPr>
          <w:p w14:paraId="1EE39A1E" w14:textId="77777777" w:rsidR="00767E2C" w:rsidRPr="009952A6" w:rsidRDefault="00767E2C" w:rsidP="00A81956">
            <w:pPr>
              <w:ind w:left="360"/>
              <w:rPr>
                <w:sz w:val="22"/>
                <w:szCs w:val="22"/>
              </w:rPr>
            </w:pPr>
          </w:p>
        </w:tc>
      </w:tr>
      <w:tr w:rsidR="00767E2C" w:rsidRPr="00EC4C3D" w14:paraId="129F2BE0" w14:textId="77777777" w:rsidTr="00767E2C">
        <w:tc>
          <w:tcPr>
            <w:tcW w:w="5395" w:type="dxa"/>
            <w:tcBorders>
              <w:bottom w:val="single" w:sz="4" w:space="0" w:color="auto"/>
            </w:tcBorders>
            <w:shd w:val="clear" w:color="auto" w:fill="auto"/>
          </w:tcPr>
          <w:p w14:paraId="3068234D" w14:textId="77777777" w:rsidR="00767E2C" w:rsidRPr="009952A6" w:rsidRDefault="00767E2C" w:rsidP="00767E2C">
            <w:pPr>
              <w:pStyle w:val="NumberedBSA-AMLList"/>
              <w:numPr>
                <w:ilvl w:val="0"/>
                <w:numId w:val="24"/>
              </w:numPr>
              <w:ind w:left="360"/>
              <w:rPr>
                <w:sz w:val="22"/>
                <w:szCs w:val="22"/>
              </w:rPr>
            </w:pPr>
            <w:proofErr w:type="gramStart"/>
            <w:r w:rsidRPr="009952A6">
              <w:rPr>
                <w:sz w:val="22"/>
                <w:szCs w:val="22"/>
              </w:rPr>
              <w:t>On the basis of</w:t>
            </w:r>
            <w:proofErr w:type="gramEnd"/>
            <w:r w:rsidRPr="009952A6">
              <w:rPr>
                <w:sz w:val="22"/>
                <w:szCs w:val="22"/>
              </w:rPr>
              <w:t xml:space="preserve"> examination and testing procedures completed, form a conclusion about the adequacy of policies, procedures, and processes the bank has developed to meet BSA regulatory requirements associated with reporting of currency transactions.</w:t>
            </w:r>
          </w:p>
        </w:tc>
        <w:tc>
          <w:tcPr>
            <w:tcW w:w="5395" w:type="dxa"/>
            <w:tcBorders>
              <w:bottom w:val="single" w:sz="4" w:space="0" w:color="auto"/>
            </w:tcBorders>
            <w:shd w:val="clear" w:color="auto" w:fill="auto"/>
          </w:tcPr>
          <w:p w14:paraId="261F1CC3" w14:textId="77777777" w:rsidR="00767E2C" w:rsidRPr="009952A6" w:rsidRDefault="00767E2C" w:rsidP="00A81956">
            <w:pPr>
              <w:ind w:left="360"/>
              <w:rPr>
                <w:sz w:val="22"/>
                <w:szCs w:val="22"/>
              </w:rPr>
            </w:pPr>
          </w:p>
        </w:tc>
      </w:tr>
    </w:tbl>
    <w:p w14:paraId="39A1F16E" w14:textId="77777777" w:rsidR="008218DF" w:rsidRPr="00214C57" w:rsidRDefault="008218DF" w:rsidP="00214C57"/>
    <w:sectPr w:rsidR="008218DF" w:rsidRPr="00214C57" w:rsidSect="00C73169">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9BF81" w14:textId="77777777" w:rsidR="00523D5A" w:rsidRDefault="00523D5A" w:rsidP="001C597F">
      <w:r>
        <w:separator/>
      </w:r>
    </w:p>
  </w:endnote>
  <w:endnote w:type="continuationSeparator" w:id="0">
    <w:p w14:paraId="11B76AAC" w14:textId="77777777" w:rsidR="00523D5A" w:rsidRDefault="00523D5A"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11ACE4" w14:textId="77777777" w:rsidR="001C597F" w:rsidRDefault="001C597F" w:rsidP="001C59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0AE9" w14:textId="77777777" w:rsidR="00644539" w:rsidRDefault="0064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3E6D" w14:textId="77777777" w:rsidR="00523D5A" w:rsidRDefault="00523D5A" w:rsidP="001C597F">
      <w:r>
        <w:separator/>
      </w:r>
    </w:p>
  </w:footnote>
  <w:footnote w:type="continuationSeparator" w:id="0">
    <w:p w14:paraId="3960F5CD" w14:textId="77777777" w:rsidR="00523D5A" w:rsidRDefault="00523D5A"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1C9F" w14:textId="77777777" w:rsidR="00644539" w:rsidRDefault="0064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D958137" w14:textId="77777777" w:rsidR="001C597F" w:rsidRDefault="001C5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BDD6" w14:textId="77777777" w:rsidR="00644539" w:rsidRDefault="0064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BBC"/>
    <w:multiLevelType w:val="hybridMultilevel"/>
    <w:tmpl w:val="5F64D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530368"/>
    <w:multiLevelType w:val="hybridMultilevel"/>
    <w:tmpl w:val="8D34B070"/>
    <w:lvl w:ilvl="0" w:tplc="42CE6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E3F32"/>
    <w:multiLevelType w:val="hybridMultilevel"/>
    <w:tmpl w:val="3DB8495E"/>
    <w:lvl w:ilvl="0" w:tplc="BC0A5B6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F74DF"/>
    <w:multiLevelType w:val="hybridMultilevel"/>
    <w:tmpl w:val="DC32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42409E"/>
    <w:multiLevelType w:val="hybridMultilevel"/>
    <w:tmpl w:val="40A8D1BC"/>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13E12"/>
    <w:multiLevelType w:val="hybridMultilevel"/>
    <w:tmpl w:val="137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0214"/>
    <w:multiLevelType w:val="hybridMultilevel"/>
    <w:tmpl w:val="BE148E44"/>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D414D"/>
    <w:multiLevelType w:val="hybridMultilevel"/>
    <w:tmpl w:val="BD10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845D32"/>
    <w:multiLevelType w:val="hybridMultilevel"/>
    <w:tmpl w:val="66E4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256FD"/>
    <w:multiLevelType w:val="hybridMultilevel"/>
    <w:tmpl w:val="9734542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8951CC"/>
    <w:multiLevelType w:val="hybridMultilevel"/>
    <w:tmpl w:val="94D06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D495F"/>
    <w:multiLevelType w:val="hybridMultilevel"/>
    <w:tmpl w:val="888AB61A"/>
    <w:lvl w:ilvl="0" w:tplc="B4188A8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804A2E"/>
    <w:multiLevelType w:val="hybridMultilevel"/>
    <w:tmpl w:val="FDD4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296B54"/>
    <w:multiLevelType w:val="hybridMultilevel"/>
    <w:tmpl w:val="A9580FD2"/>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E7060"/>
    <w:multiLevelType w:val="hybridMultilevel"/>
    <w:tmpl w:val="E2D6EB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F8B3351"/>
    <w:multiLevelType w:val="hybridMultilevel"/>
    <w:tmpl w:val="EA70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C07E6"/>
    <w:multiLevelType w:val="hybridMultilevel"/>
    <w:tmpl w:val="649404E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A2B62"/>
    <w:multiLevelType w:val="hybridMultilevel"/>
    <w:tmpl w:val="7702EE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E5A9F"/>
    <w:multiLevelType w:val="hybridMultilevel"/>
    <w:tmpl w:val="7D42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47B47"/>
    <w:multiLevelType w:val="hybridMultilevel"/>
    <w:tmpl w:val="EB30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1321FB"/>
    <w:multiLevelType w:val="hybridMultilevel"/>
    <w:tmpl w:val="C1848068"/>
    <w:lvl w:ilvl="0" w:tplc="9F90F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650C7"/>
    <w:multiLevelType w:val="hybridMultilevel"/>
    <w:tmpl w:val="3B2A1B76"/>
    <w:lvl w:ilvl="0" w:tplc="C7EEAFC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75364"/>
    <w:multiLevelType w:val="hybridMultilevel"/>
    <w:tmpl w:val="BED8E398"/>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24"/>
  </w:num>
  <w:num w:numId="5">
    <w:abstractNumId w:val="19"/>
  </w:num>
  <w:num w:numId="6">
    <w:abstractNumId w:val="13"/>
  </w:num>
  <w:num w:numId="7">
    <w:abstractNumId w:val="2"/>
  </w:num>
  <w:num w:numId="8">
    <w:abstractNumId w:val="1"/>
  </w:num>
  <w:num w:numId="9">
    <w:abstractNumId w:val="6"/>
  </w:num>
  <w:num w:numId="10">
    <w:abstractNumId w:val="16"/>
  </w:num>
  <w:num w:numId="11">
    <w:abstractNumId w:val="18"/>
  </w:num>
  <w:num w:numId="12">
    <w:abstractNumId w:val="15"/>
  </w:num>
  <w:num w:numId="13">
    <w:abstractNumId w:val="4"/>
  </w:num>
  <w:num w:numId="14">
    <w:abstractNumId w:val="23"/>
  </w:num>
  <w:num w:numId="15">
    <w:abstractNumId w:val="10"/>
  </w:num>
  <w:num w:numId="16">
    <w:abstractNumId w:val="21"/>
  </w:num>
  <w:num w:numId="17">
    <w:abstractNumId w:val="0"/>
  </w:num>
  <w:num w:numId="18">
    <w:abstractNumId w:val="14"/>
  </w:num>
  <w:num w:numId="19">
    <w:abstractNumId w:val="3"/>
  </w:num>
  <w:num w:numId="20">
    <w:abstractNumId w:val="8"/>
  </w:num>
  <w:num w:numId="21">
    <w:abstractNumId w:val="17"/>
  </w:num>
  <w:num w:numId="22">
    <w:abstractNumId w:val="20"/>
  </w:num>
  <w:num w:numId="23">
    <w:abstractNumId w:val="12"/>
  </w:num>
  <w:num w:numId="24">
    <w:abstractNumId w:val="22"/>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B6182"/>
    <w:rsid w:val="00153D87"/>
    <w:rsid w:val="001C597F"/>
    <w:rsid w:val="00214C57"/>
    <w:rsid w:val="002456DC"/>
    <w:rsid w:val="002C7896"/>
    <w:rsid w:val="00381955"/>
    <w:rsid w:val="00523D5A"/>
    <w:rsid w:val="00545344"/>
    <w:rsid w:val="00551E98"/>
    <w:rsid w:val="005A483D"/>
    <w:rsid w:val="00644539"/>
    <w:rsid w:val="0066634D"/>
    <w:rsid w:val="00693331"/>
    <w:rsid w:val="006938EE"/>
    <w:rsid w:val="00711436"/>
    <w:rsid w:val="0074091F"/>
    <w:rsid w:val="00767E2C"/>
    <w:rsid w:val="008218DF"/>
    <w:rsid w:val="0082386F"/>
    <w:rsid w:val="00827065"/>
    <w:rsid w:val="008C1A62"/>
    <w:rsid w:val="008D1B70"/>
    <w:rsid w:val="00942A1C"/>
    <w:rsid w:val="00A13081"/>
    <w:rsid w:val="00A33330"/>
    <w:rsid w:val="00A37C93"/>
    <w:rsid w:val="00A93677"/>
    <w:rsid w:val="00A9534A"/>
    <w:rsid w:val="00AB7A7D"/>
    <w:rsid w:val="00AC3068"/>
    <w:rsid w:val="00B0373F"/>
    <w:rsid w:val="00B57732"/>
    <w:rsid w:val="00BD16CB"/>
    <w:rsid w:val="00C40DD6"/>
    <w:rsid w:val="00C73169"/>
    <w:rsid w:val="00C7598C"/>
    <w:rsid w:val="00CC10D0"/>
    <w:rsid w:val="00CE1F59"/>
    <w:rsid w:val="00CF0853"/>
    <w:rsid w:val="00CF7AF0"/>
    <w:rsid w:val="00D8007E"/>
    <w:rsid w:val="00D95CB7"/>
    <w:rsid w:val="00DA7E7B"/>
    <w:rsid w:val="00EC37F2"/>
    <w:rsid w:val="00F338D1"/>
    <w:rsid w:val="00F410AB"/>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936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Footnote Reference BSA-AML Manual"/>
    <w:basedOn w:val="DefaultParagraphFont"/>
    <w:uiPriority w:val="99"/>
    <w:qFormat/>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218DF"/>
  </w:style>
  <w:style w:type="character" w:customStyle="1" w:styleId="FootnoteTextChar">
    <w:name w:val="Footnote Text Char"/>
    <w:basedOn w:val="DefaultParagraphFont"/>
    <w:link w:val="FootnoteText"/>
    <w:uiPriority w:val="99"/>
    <w:semiHidden/>
    <w:rsid w:val="008218DF"/>
    <w:rPr>
      <w:rFonts w:ascii="Times New Roman" w:eastAsia="Times New Roman" w:hAnsi="Times New Roman" w:cs="Times New Roman"/>
      <w:sz w:val="20"/>
      <w:szCs w:val="20"/>
    </w:rPr>
  </w:style>
  <w:style w:type="paragraph" w:styleId="ListParagraph">
    <w:name w:val="List Paragraph"/>
    <w:aliases w:val="H3 N,Bullet 1"/>
    <w:basedOn w:val="Normal"/>
    <w:link w:val="ListParagraphChar"/>
    <w:uiPriority w:val="1"/>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character" w:customStyle="1" w:styleId="Heading1Char">
    <w:name w:val="Heading 1 Char"/>
    <w:basedOn w:val="DefaultParagraphFont"/>
    <w:link w:val="Heading1"/>
    <w:uiPriority w:val="9"/>
    <w:rsid w:val="00A93677"/>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H3 N Char,Bullet 1 Char"/>
    <w:basedOn w:val="DefaultParagraphFont"/>
    <w:link w:val="ListParagraph"/>
    <w:uiPriority w:val="1"/>
    <w:locked/>
    <w:rsid w:val="00767E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4F17-10C4-614E-8A11-DCDD0B42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1887</Characters>
  <Application>Microsoft Office Word</Application>
  <DocSecurity>0</DocSecurity>
  <Lines>15</Lines>
  <Paragraphs>4</Paragraphs>
  <ScaleCrop>false</ScaleCrop>
  <Company>CPS</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2021-02-21T15:20:00Z</dcterms:created>
  <dcterms:modified xsi:type="dcterms:W3CDTF">2021-02-21T15:20:00Z</dcterms:modified>
</cp:coreProperties>
</file>