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3AC8C" w14:textId="77777777" w:rsidR="002A317A" w:rsidRPr="0086047B" w:rsidRDefault="002A317A" w:rsidP="002A317A">
      <w:pPr>
        <w:pStyle w:val="Head3-BSA-AML"/>
        <w:rPr>
          <w:sz w:val="36"/>
          <w:szCs w:val="36"/>
        </w:rPr>
      </w:pPr>
      <w:bookmarkStart w:id="0" w:name="Prepaid_Access"/>
      <w:r w:rsidRPr="0086047B">
        <w:rPr>
          <w:sz w:val="36"/>
          <w:szCs w:val="36"/>
        </w:rPr>
        <w:t>Examination Procedures</w:t>
      </w:r>
    </w:p>
    <w:p w14:paraId="71CF508C" w14:textId="77777777" w:rsidR="002A317A" w:rsidRDefault="002A317A" w:rsidP="002A317A">
      <w:pPr>
        <w:pStyle w:val="Head4-BSA-AML"/>
        <w:jc w:val="center"/>
      </w:pPr>
      <w:r>
        <w:t>Prepaid Access</w:t>
      </w:r>
      <w:bookmarkEnd w:id="0"/>
    </w:p>
    <w:p w14:paraId="3951F4F5" w14:textId="77777777" w:rsidR="002A317A" w:rsidRPr="00E60116" w:rsidRDefault="002A317A" w:rsidP="002A317A">
      <w:pPr>
        <w:rPr>
          <w:i/>
          <w:sz w:val="24"/>
          <w:szCs w:val="24"/>
        </w:rPr>
      </w:pPr>
      <w:r>
        <w:rPr>
          <w:rStyle w:val="Head7-BSA-AMLCharChar"/>
        </w:rPr>
        <w:t>Objective.</w:t>
      </w:r>
      <w:r>
        <w:rPr>
          <w:szCs w:val="28"/>
        </w:rPr>
        <w:t xml:space="preserve">  </w:t>
      </w:r>
      <w:r w:rsidRPr="00E60116">
        <w:rPr>
          <w:i/>
          <w:sz w:val="24"/>
          <w:szCs w:val="24"/>
        </w:rPr>
        <w:t xml:space="preserve">Assess the adequacy of the bank’s systems to manage the risks associated with </w:t>
      </w:r>
      <w:r>
        <w:rPr>
          <w:i/>
          <w:sz w:val="24"/>
          <w:szCs w:val="24"/>
        </w:rPr>
        <w:t xml:space="preserve">prepaid access, </w:t>
      </w:r>
      <w:r w:rsidRPr="00E60116">
        <w:rPr>
          <w:i/>
          <w:sz w:val="24"/>
          <w:szCs w:val="24"/>
        </w:rPr>
        <w:t>and management’s ability to implement effective monitoring and reporting systems.</w:t>
      </w:r>
    </w:p>
    <w:p w14:paraId="182F3CA3" w14:textId="77777777" w:rsidR="002A317A" w:rsidRDefault="002A317A" w:rsidP="002A317A">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5374"/>
      </w:tblGrid>
      <w:tr w:rsidR="002A317A" w:rsidRPr="00EC4C3D" w14:paraId="356A98E8" w14:textId="77777777" w:rsidTr="00FD77C2">
        <w:trPr>
          <w:tblHeader/>
        </w:trPr>
        <w:tc>
          <w:tcPr>
            <w:tcW w:w="5416" w:type="dxa"/>
            <w:tcBorders>
              <w:bottom w:val="single" w:sz="4" w:space="0" w:color="auto"/>
            </w:tcBorders>
            <w:shd w:val="clear" w:color="auto" w:fill="E0E0E0"/>
          </w:tcPr>
          <w:p w14:paraId="673606B0" w14:textId="77777777" w:rsidR="002A317A" w:rsidRPr="00EC4C3D" w:rsidRDefault="002A317A" w:rsidP="00FD77C2">
            <w:pPr>
              <w:rPr>
                <w:b/>
                <w:sz w:val="28"/>
                <w:szCs w:val="28"/>
              </w:rPr>
            </w:pPr>
            <w:r w:rsidRPr="00EC4C3D">
              <w:rPr>
                <w:b/>
                <w:sz w:val="28"/>
                <w:szCs w:val="28"/>
              </w:rPr>
              <w:t>Procedure</w:t>
            </w:r>
          </w:p>
        </w:tc>
        <w:tc>
          <w:tcPr>
            <w:tcW w:w="5374" w:type="dxa"/>
            <w:tcBorders>
              <w:bottom w:val="single" w:sz="4" w:space="0" w:color="auto"/>
            </w:tcBorders>
            <w:shd w:val="clear" w:color="auto" w:fill="E0E0E0"/>
          </w:tcPr>
          <w:p w14:paraId="1EAB8719" w14:textId="77777777" w:rsidR="002A317A" w:rsidRPr="00EC4C3D" w:rsidRDefault="002A317A" w:rsidP="00FD77C2">
            <w:pPr>
              <w:rPr>
                <w:b/>
                <w:sz w:val="28"/>
                <w:szCs w:val="28"/>
              </w:rPr>
            </w:pPr>
            <w:r w:rsidRPr="00EC4C3D">
              <w:rPr>
                <w:b/>
                <w:sz w:val="28"/>
                <w:szCs w:val="28"/>
              </w:rPr>
              <w:t>Comments</w:t>
            </w:r>
          </w:p>
        </w:tc>
      </w:tr>
      <w:tr w:rsidR="002A317A" w:rsidRPr="00EC4C3D" w14:paraId="7804C166" w14:textId="77777777" w:rsidTr="00FD77C2">
        <w:tc>
          <w:tcPr>
            <w:tcW w:w="5416" w:type="dxa"/>
            <w:shd w:val="clear" w:color="auto" w:fill="auto"/>
          </w:tcPr>
          <w:p w14:paraId="5578D96B" w14:textId="77777777" w:rsidR="002A317A" w:rsidRPr="00EC4C3D" w:rsidRDefault="002A317A" w:rsidP="002A317A">
            <w:pPr>
              <w:numPr>
                <w:ilvl w:val="0"/>
                <w:numId w:val="48"/>
              </w:numPr>
              <w:rPr>
                <w:sz w:val="22"/>
                <w:szCs w:val="22"/>
              </w:rPr>
            </w:pPr>
            <w:r w:rsidRPr="00EC4C3D">
              <w:rPr>
                <w:sz w:val="22"/>
                <w:szCs w:val="22"/>
              </w:rPr>
              <w:t xml:space="preserve">Review the policies, procedures, and processes related to </w:t>
            </w:r>
            <w:r>
              <w:rPr>
                <w:sz w:val="22"/>
                <w:szCs w:val="22"/>
              </w:rPr>
              <w:t>prepaid access</w:t>
            </w:r>
            <w:r w:rsidRPr="00EC4C3D">
              <w:rPr>
                <w:sz w:val="22"/>
                <w:szCs w:val="22"/>
              </w:rPr>
              <w:t xml:space="preserve">.  Evaluate </w:t>
            </w:r>
            <w:r>
              <w:rPr>
                <w:sz w:val="22"/>
                <w:szCs w:val="22"/>
              </w:rPr>
              <w:t xml:space="preserve">the risks posed by the prepaid access products offered, and </w:t>
            </w:r>
            <w:r w:rsidRPr="00EC4C3D">
              <w:rPr>
                <w:sz w:val="22"/>
                <w:szCs w:val="22"/>
              </w:rPr>
              <w:t xml:space="preserve">the adequacy of the policies, procedures, and processes given the </w:t>
            </w:r>
            <w:r>
              <w:rPr>
                <w:sz w:val="22"/>
                <w:szCs w:val="22"/>
              </w:rPr>
              <w:t xml:space="preserve">risks such prepaid access products </w:t>
            </w:r>
            <w:r w:rsidRPr="00EC4C3D">
              <w:rPr>
                <w:sz w:val="22"/>
                <w:szCs w:val="22"/>
              </w:rPr>
              <w:t>present.  Assess whether the controls are adequate to reasonably protect the bank from money laundering and terrorist financing.</w:t>
            </w:r>
          </w:p>
        </w:tc>
        <w:tc>
          <w:tcPr>
            <w:tcW w:w="5374" w:type="dxa"/>
            <w:shd w:val="clear" w:color="auto" w:fill="auto"/>
          </w:tcPr>
          <w:p w14:paraId="1839AF3F" w14:textId="77777777" w:rsidR="002A317A" w:rsidRPr="00EC4C3D" w:rsidRDefault="002A317A" w:rsidP="00FD77C2">
            <w:pPr>
              <w:rPr>
                <w:sz w:val="22"/>
                <w:szCs w:val="22"/>
              </w:rPr>
            </w:pPr>
          </w:p>
        </w:tc>
      </w:tr>
      <w:tr w:rsidR="002A317A" w:rsidRPr="00EC4C3D" w14:paraId="151E7397" w14:textId="77777777" w:rsidTr="00FD77C2">
        <w:tc>
          <w:tcPr>
            <w:tcW w:w="5416" w:type="dxa"/>
            <w:shd w:val="clear" w:color="auto" w:fill="auto"/>
          </w:tcPr>
          <w:p w14:paraId="697C6B20" w14:textId="77777777" w:rsidR="002A317A" w:rsidRPr="00DD4B4D" w:rsidRDefault="002A317A" w:rsidP="002A317A">
            <w:pPr>
              <w:numPr>
                <w:ilvl w:val="0"/>
                <w:numId w:val="48"/>
              </w:numPr>
              <w:rPr>
                <w:sz w:val="22"/>
                <w:szCs w:val="22"/>
              </w:rPr>
            </w:pPr>
            <w:r w:rsidRPr="00B84BD8">
              <w:rPr>
                <w:bCs/>
                <w:sz w:val="22"/>
                <w:szCs w:val="22"/>
              </w:rPr>
              <w:t>Review the due diligence undertaken by the bank regarding third-party service providers such as program managers, processors, marketers, merchants and distributors.  Assess whether existing onboarding and ongoing oversight programs are reasonably satisfactory to protect the bank.</w:t>
            </w:r>
          </w:p>
        </w:tc>
        <w:tc>
          <w:tcPr>
            <w:tcW w:w="5374" w:type="dxa"/>
            <w:shd w:val="clear" w:color="auto" w:fill="auto"/>
          </w:tcPr>
          <w:p w14:paraId="65269B3E" w14:textId="77777777" w:rsidR="002A317A" w:rsidRPr="00EC4C3D" w:rsidRDefault="002A317A" w:rsidP="00FD77C2">
            <w:pPr>
              <w:rPr>
                <w:sz w:val="22"/>
                <w:szCs w:val="22"/>
              </w:rPr>
            </w:pPr>
          </w:p>
        </w:tc>
      </w:tr>
      <w:tr w:rsidR="002A317A" w:rsidRPr="00EC4C3D" w14:paraId="05721507" w14:textId="77777777" w:rsidTr="00FD77C2">
        <w:tc>
          <w:tcPr>
            <w:tcW w:w="5416" w:type="dxa"/>
            <w:shd w:val="clear" w:color="auto" w:fill="auto"/>
          </w:tcPr>
          <w:p w14:paraId="4C452812" w14:textId="77777777" w:rsidR="002A317A" w:rsidRPr="00B84BD8" w:rsidRDefault="002A317A" w:rsidP="002A317A">
            <w:pPr>
              <w:numPr>
                <w:ilvl w:val="0"/>
                <w:numId w:val="48"/>
              </w:numPr>
              <w:rPr>
                <w:sz w:val="22"/>
                <w:szCs w:val="22"/>
              </w:rPr>
            </w:pPr>
            <w:r w:rsidRPr="00B84BD8">
              <w:rPr>
                <w:sz w:val="22"/>
                <w:szCs w:val="22"/>
              </w:rPr>
              <w:t xml:space="preserve"> From a review of MIS and internal risk rating factors, determine whether the bank effectively identifies and monitors higher-risk prepaid access transactions, such as transactions involving unknown sources of funds (as opposed to funds received from a long-term commercial customer or federal, state or local government entity) as well as transactions involving international cash access/ATM transactions (as opposed to domestic merchandise-only transactions).</w:t>
            </w:r>
          </w:p>
        </w:tc>
        <w:tc>
          <w:tcPr>
            <w:tcW w:w="5374" w:type="dxa"/>
            <w:shd w:val="clear" w:color="auto" w:fill="auto"/>
          </w:tcPr>
          <w:p w14:paraId="141F0791" w14:textId="77777777" w:rsidR="002A317A" w:rsidRPr="00EC4C3D" w:rsidRDefault="002A317A" w:rsidP="00FD77C2">
            <w:pPr>
              <w:rPr>
                <w:sz w:val="22"/>
                <w:szCs w:val="22"/>
              </w:rPr>
            </w:pPr>
          </w:p>
        </w:tc>
      </w:tr>
      <w:tr w:rsidR="002A317A" w:rsidRPr="00EC4C3D" w14:paraId="4BBD37C3" w14:textId="77777777" w:rsidTr="00FD77C2">
        <w:tc>
          <w:tcPr>
            <w:tcW w:w="5416" w:type="dxa"/>
            <w:shd w:val="clear" w:color="auto" w:fill="auto"/>
          </w:tcPr>
          <w:p w14:paraId="049D6EBC" w14:textId="77777777" w:rsidR="002A317A" w:rsidRPr="00B84BD8" w:rsidRDefault="002A317A" w:rsidP="002A317A">
            <w:pPr>
              <w:pStyle w:val="Body-BSA-AML"/>
              <w:numPr>
                <w:ilvl w:val="0"/>
                <w:numId w:val="48"/>
              </w:numPr>
              <w:spacing w:after="0"/>
              <w:rPr>
                <w:sz w:val="22"/>
                <w:szCs w:val="22"/>
              </w:rPr>
            </w:pPr>
            <w:r w:rsidRPr="00B84BD8">
              <w:rPr>
                <w:sz w:val="22"/>
                <w:szCs w:val="22"/>
              </w:rPr>
              <w:t>Determine whether the bank’s prepaid access program is governed by an agreement or a contract describing each party’s responsibilities and other relationship details, such as the products and services provided.  At a minimum, the contract should consider each party’s:</w:t>
            </w:r>
          </w:p>
          <w:p w14:paraId="26ADD6D3" w14:textId="77777777" w:rsidR="002A317A" w:rsidRPr="00B84BD8" w:rsidRDefault="002A317A" w:rsidP="002A317A">
            <w:pPr>
              <w:pStyle w:val="Body-BSA-AML"/>
              <w:numPr>
                <w:ilvl w:val="0"/>
                <w:numId w:val="49"/>
              </w:numPr>
              <w:spacing w:after="0"/>
              <w:rPr>
                <w:sz w:val="22"/>
                <w:szCs w:val="22"/>
              </w:rPr>
            </w:pPr>
            <w:r w:rsidRPr="00B84BD8">
              <w:rPr>
                <w:sz w:val="22"/>
                <w:szCs w:val="22"/>
              </w:rPr>
              <w:t>BSA/AML and OFAC compliance requirements;</w:t>
            </w:r>
          </w:p>
          <w:p w14:paraId="76171CCA" w14:textId="77777777" w:rsidR="002A317A" w:rsidRPr="00B84BD8" w:rsidRDefault="002A317A" w:rsidP="002A317A">
            <w:pPr>
              <w:pStyle w:val="Body-BSA-AML"/>
              <w:numPr>
                <w:ilvl w:val="0"/>
                <w:numId w:val="49"/>
              </w:numPr>
              <w:spacing w:after="0"/>
              <w:rPr>
                <w:sz w:val="22"/>
                <w:szCs w:val="22"/>
              </w:rPr>
            </w:pPr>
            <w:r w:rsidRPr="00B84BD8">
              <w:rPr>
                <w:sz w:val="22"/>
                <w:szCs w:val="22"/>
              </w:rPr>
              <w:t>customer base;</w:t>
            </w:r>
          </w:p>
          <w:p w14:paraId="6FB85DCD" w14:textId="77777777" w:rsidR="002A317A" w:rsidRPr="00B84BD8" w:rsidRDefault="002A317A" w:rsidP="002A317A">
            <w:pPr>
              <w:pStyle w:val="Body-BSA-AML"/>
              <w:numPr>
                <w:ilvl w:val="0"/>
                <w:numId w:val="49"/>
              </w:numPr>
              <w:spacing w:after="0"/>
              <w:rPr>
                <w:sz w:val="22"/>
                <w:szCs w:val="22"/>
              </w:rPr>
            </w:pPr>
            <w:r w:rsidRPr="00B84BD8">
              <w:rPr>
                <w:sz w:val="22"/>
                <w:szCs w:val="22"/>
              </w:rPr>
              <w:t>due diligence procedures; and</w:t>
            </w:r>
          </w:p>
          <w:p w14:paraId="0EF37B62" w14:textId="77777777" w:rsidR="002A317A" w:rsidRPr="00DD4B4D" w:rsidRDefault="002A317A" w:rsidP="002A317A">
            <w:pPr>
              <w:pStyle w:val="Body-BSA-AML"/>
              <w:numPr>
                <w:ilvl w:val="0"/>
                <w:numId w:val="49"/>
              </w:numPr>
              <w:spacing w:after="0"/>
            </w:pPr>
            <w:r w:rsidRPr="00B84BD8">
              <w:rPr>
                <w:sz w:val="22"/>
                <w:szCs w:val="22"/>
              </w:rPr>
              <w:t>network obligations.</w:t>
            </w:r>
          </w:p>
        </w:tc>
        <w:tc>
          <w:tcPr>
            <w:tcW w:w="5374" w:type="dxa"/>
            <w:shd w:val="clear" w:color="auto" w:fill="auto"/>
          </w:tcPr>
          <w:p w14:paraId="2DD12676" w14:textId="77777777" w:rsidR="002A317A" w:rsidRPr="00EC4C3D" w:rsidRDefault="002A317A" w:rsidP="00FD77C2">
            <w:pPr>
              <w:rPr>
                <w:sz w:val="22"/>
                <w:szCs w:val="22"/>
              </w:rPr>
            </w:pPr>
          </w:p>
        </w:tc>
      </w:tr>
      <w:tr w:rsidR="002A317A" w:rsidRPr="00EC4C3D" w14:paraId="5DAEF164" w14:textId="77777777" w:rsidTr="00FD77C2">
        <w:tc>
          <w:tcPr>
            <w:tcW w:w="5416" w:type="dxa"/>
            <w:shd w:val="clear" w:color="auto" w:fill="auto"/>
          </w:tcPr>
          <w:p w14:paraId="351104D7" w14:textId="77777777" w:rsidR="002A317A" w:rsidRPr="00DD4B4D" w:rsidDel="00DD4B4D" w:rsidRDefault="002A317A" w:rsidP="002A317A">
            <w:pPr>
              <w:pStyle w:val="Body-BSA-AML"/>
              <w:numPr>
                <w:ilvl w:val="0"/>
                <w:numId w:val="48"/>
              </w:numPr>
              <w:spacing w:after="0"/>
              <w:rPr>
                <w:sz w:val="22"/>
                <w:szCs w:val="22"/>
              </w:rPr>
            </w:pPr>
            <w:r w:rsidRPr="00B84BD8">
              <w:rPr>
                <w:sz w:val="22"/>
                <w:szCs w:val="22"/>
              </w:rPr>
              <w:t>Determine whether the bank’s system for monitoring prepaid access transactions for suspicious activities, and for reporting suspicious activities, is adequate given the bank’s size, complexity, location, customer profile, and types of prepaid access products offered.</w:t>
            </w:r>
          </w:p>
        </w:tc>
        <w:tc>
          <w:tcPr>
            <w:tcW w:w="5374" w:type="dxa"/>
            <w:shd w:val="clear" w:color="auto" w:fill="auto"/>
          </w:tcPr>
          <w:p w14:paraId="68F36D24" w14:textId="77777777" w:rsidR="002A317A" w:rsidRPr="00EC4C3D" w:rsidRDefault="002A317A" w:rsidP="00FD77C2">
            <w:pPr>
              <w:rPr>
                <w:sz w:val="22"/>
                <w:szCs w:val="22"/>
              </w:rPr>
            </w:pPr>
          </w:p>
        </w:tc>
      </w:tr>
      <w:tr w:rsidR="002A317A" w:rsidRPr="00EC4C3D" w14:paraId="1F529022" w14:textId="77777777" w:rsidTr="00FD77C2">
        <w:tc>
          <w:tcPr>
            <w:tcW w:w="5416" w:type="dxa"/>
            <w:shd w:val="clear" w:color="auto" w:fill="auto"/>
          </w:tcPr>
          <w:p w14:paraId="1B6F7813" w14:textId="77777777" w:rsidR="002A317A" w:rsidRPr="00DD4B4D" w:rsidDel="00DD4B4D" w:rsidRDefault="002A317A" w:rsidP="002A317A">
            <w:pPr>
              <w:pStyle w:val="Body-BSA-AML"/>
              <w:numPr>
                <w:ilvl w:val="0"/>
                <w:numId w:val="48"/>
              </w:numPr>
              <w:spacing w:after="0"/>
              <w:rPr>
                <w:sz w:val="22"/>
                <w:szCs w:val="22"/>
              </w:rPr>
            </w:pPr>
            <w:r w:rsidRPr="00B84BD8">
              <w:rPr>
                <w:sz w:val="22"/>
                <w:szCs w:val="22"/>
              </w:rPr>
              <w:t>If appropriate, refer to the core examination procedures, “Office of Foreign Assets Control,”</w:t>
            </w:r>
            <w:r>
              <w:rPr>
                <w:sz w:val="22"/>
                <w:szCs w:val="22"/>
              </w:rPr>
              <w:t>;</w:t>
            </w:r>
            <w:r w:rsidRPr="00B84BD8">
              <w:rPr>
                <w:sz w:val="22"/>
                <w:szCs w:val="22"/>
              </w:rPr>
              <w:t xml:space="preserve"> </w:t>
            </w:r>
            <w:r>
              <w:rPr>
                <w:sz w:val="22"/>
                <w:szCs w:val="22"/>
              </w:rPr>
              <w:t xml:space="preserve">examination procedures for </w:t>
            </w:r>
            <w:r w:rsidRPr="00B84BD8">
              <w:rPr>
                <w:sz w:val="22"/>
                <w:szCs w:val="22"/>
              </w:rPr>
              <w:t>“Third Party Payment Processors,”; and</w:t>
            </w:r>
            <w:r>
              <w:rPr>
                <w:sz w:val="22"/>
                <w:szCs w:val="22"/>
              </w:rPr>
              <w:t xml:space="preserve"> examination procedures for</w:t>
            </w:r>
            <w:r w:rsidRPr="00B84BD8">
              <w:rPr>
                <w:sz w:val="22"/>
                <w:szCs w:val="22"/>
              </w:rPr>
              <w:t xml:space="preserve"> “Nonbank Financial Institutions,” for guidance.</w:t>
            </w:r>
          </w:p>
        </w:tc>
        <w:tc>
          <w:tcPr>
            <w:tcW w:w="5374" w:type="dxa"/>
            <w:shd w:val="clear" w:color="auto" w:fill="auto"/>
          </w:tcPr>
          <w:p w14:paraId="1E5E3637" w14:textId="77777777" w:rsidR="002A317A" w:rsidRPr="00EC4C3D" w:rsidRDefault="002A317A" w:rsidP="00FD77C2">
            <w:pPr>
              <w:rPr>
                <w:sz w:val="22"/>
                <w:szCs w:val="22"/>
              </w:rPr>
            </w:pPr>
          </w:p>
        </w:tc>
      </w:tr>
      <w:tr w:rsidR="002A317A" w:rsidRPr="00EC4C3D" w14:paraId="135549C2" w14:textId="77777777" w:rsidTr="00FD77C2">
        <w:tc>
          <w:tcPr>
            <w:tcW w:w="10790" w:type="dxa"/>
            <w:gridSpan w:val="2"/>
            <w:shd w:val="clear" w:color="auto" w:fill="auto"/>
          </w:tcPr>
          <w:p w14:paraId="3D702C03" w14:textId="77777777" w:rsidR="002A317A" w:rsidRPr="00EC4C3D" w:rsidRDefault="002A317A" w:rsidP="00FD77C2">
            <w:pPr>
              <w:rPr>
                <w:b/>
                <w:sz w:val="28"/>
                <w:szCs w:val="28"/>
              </w:rPr>
            </w:pPr>
            <w:r w:rsidRPr="00EC4C3D">
              <w:rPr>
                <w:b/>
                <w:sz w:val="28"/>
                <w:szCs w:val="28"/>
              </w:rPr>
              <w:t>Transaction Testing</w:t>
            </w:r>
          </w:p>
        </w:tc>
      </w:tr>
      <w:tr w:rsidR="002A317A" w:rsidRPr="00EC4C3D" w14:paraId="44F25D62" w14:textId="77777777" w:rsidTr="00FD77C2">
        <w:tc>
          <w:tcPr>
            <w:tcW w:w="5416" w:type="dxa"/>
            <w:shd w:val="clear" w:color="auto" w:fill="auto"/>
          </w:tcPr>
          <w:p w14:paraId="49FB42B6" w14:textId="77777777" w:rsidR="002A317A" w:rsidRPr="00682354" w:rsidRDefault="002A317A" w:rsidP="002A317A">
            <w:pPr>
              <w:pStyle w:val="Bulletlist2ndlevel-BSA-AML"/>
              <w:numPr>
                <w:ilvl w:val="0"/>
                <w:numId w:val="48"/>
              </w:numPr>
              <w:tabs>
                <w:tab w:val="left" w:pos="360"/>
              </w:tabs>
              <w:spacing w:after="0"/>
              <w:rPr>
                <w:sz w:val="22"/>
                <w:szCs w:val="22"/>
              </w:rPr>
            </w:pPr>
            <w:r w:rsidRPr="00682354">
              <w:rPr>
                <w:sz w:val="22"/>
                <w:szCs w:val="22"/>
              </w:rPr>
              <w:lastRenderedPageBreak/>
              <w:t xml:space="preserve">On the basis of the bank’s risk assessment of its prepaid access activities, as well as prior examination and audit reports, select a sample of prepaid access transactions.  From the sample selected perform the following </w:t>
            </w:r>
            <w:r w:rsidRPr="00682354">
              <w:rPr>
                <w:bCs/>
                <w:sz w:val="22"/>
                <w:szCs w:val="22"/>
              </w:rPr>
              <w:t xml:space="preserve">examination </w:t>
            </w:r>
            <w:r w:rsidRPr="00682354">
              <w:rPr>
                <w:sz w:val="22"/>
                <w:szCs w:val="22"/>
              </w:rPr>
              <w:t xml:space="preserve">procedures:  </w:t>
            </w:r>
          </w:p>
          <w:p w14:paraId="473B128A" w14:textId="77777777" w:rsidR="002A317A" w:rsidRPr="00682354" w:rsidRDefault="002A317A" w:rsidP="002A317A">
            <w:pPr>
              <w:pStyle w:val="Body-BSA-AML"/>
              <w:numPr>
                <w:ilvl w:val="0"/>
                <w:numId w:val="49"/>
              </w:numPr>
              <w:spacing w:after="0"/>
              <w:rPr>
                <w:sz w:val="22"/>
                <w:szCs w:val="22"/>
              </w:rPr>
            </w:pPr>
            <w:r w:rsidRPr="00682354">
              <w:rPr>
                <w:sz w:val="22"/>
                <w:szCs w:val="22"/>
              </w:rPr>
              <w:t>Review the prepaid access product configuration(s), including features, how it is distributed, source of funds, and what BSA/AML risk mitigants apply.</w:t>
            </w:r>
          </w:p>
          <w:p w14:paraId="40430A7B" w14:textId="77777777" w:rsidR="002A317A" w:rsidRPr="00465A34" w:rsidRDefault="002A317A" w:rsidP="002A317A">
            <w:pPr>
              <w:pStyle w:val="Body-BSA-AML"/>
              <w:numPr>
                <w:ilvl w:val="0"/>
                <w:numId w:val="49"/>
              </w:numPr>
              <w:spacing w:after="0"/>
              <w:rPr>
                <w:sz w:val="22"/>
                <w:szCs w:val="22"/>
              </w:rPr>
            </w:pPr>
            <w:r w:rsidRPr="00DE7210">
              <w:rPr>
                <w:sz w:val="22"/>
                <w:szCs w:val="22"/>
              </w:rPr>
              <w:t>Review account opening documentation, including CIP, ongoing CDD, and transaction history.</w:t>
            </w:r>
          </w:p>
          <w:p w14:paraId="66F5DC0F" w14:textId="77777777" w:rsidR="002A317A" w:rsidRPr="00095D25" w:rsidRDefault="002A317A" w:rsidP="002A317A">
            <w:pPr>
              <w:pStyle w:val="Body-BSA-AML"/>
              <w:numPr>
                <w:ilvl w:val="0"/>
                <w:numId w:val="49"/>
              </w:numPr>
              <w:spacing w:after="0"/>
              <w:rPr>
                <w:sz w:val="22"/>
                <w:szCs w:val="22"/>
              </w:rPr>
            </w:pPr>
            <w:r w:rsidRPr="00095D25">
              <w:rPr>
                <w:sz w:val="22"/>
                <w:szCs w:val="22"/>
              </w:rPr>
              <w:t>Compare expected activity with actual activity.</w:t>
            </w:r>
          </w:p>
          <w:p w14:paraId="01082151" w14:textId="77777777" w:rsidR="002A317A" w:rsidRPr="00632814" w:rsidRDefault="002A317A" w:rsidP="002A317A">
            <w:pPr>
              <w:pStyle w:val="Body-BSA-AML"/>
              <w:numPr>
                <w:ilvl w:val="0"/>
                <w:numId w:val="49"/>
              </w:numPr>
              <w:spacing w:after="0"/>
              <w:rPr>
                <w:bCs/>
                <w:sz w:val="22"/>
                <w:szCs w:val="22"/>
              </w:rPr>
            </w:pPr>
            <w:r w:rsidRPr="00095D25">
              <w:rPr>
                <w:sz w:val="22"/>
                <w:szCs w:val="22"/>
              </w:rPr>
              <w:t xml:space="preserve">Determine whether the activity is consistent with the nature of the prepaid access product, known sources of funds, and knowledge of the user’s identity.  </w:t>
            </w:r>
          </w:p>
          <w:p w14:paraId="2FF2C930" w14:textId="77777777" w:rsidR="002A317A" w:rsidRPr="00EC4C3D" w:rsidRDefault="002A317A" w:rsidP="002A317A">
            <w:pPr>
              <w:pStyle w:val="Body-BSA-AML"/>
              <w:numPr>
                <w:ilvl w:val="0"/>
                <w:numId w:val="49"/>
              </w:numPr>
              <w:spacing w:after="0"/>
              <w:rPr>
                <w:bCs/>
                <w:sz w:val="22"/>
                <w:szCs w:val="22"/>
              </w:rPr>
            </w:pPr>
            <w:r w:rsidRPr="00095D25">
              <w:rPr>
                <w:sz w:val="22"/>
                <w:szCs w:val="22"/>
              </w:rPr>
              <w:t>Identify any unusual or suspicious activi</w:t>
            </w:r>
            <w:r>
              <w:rPr>
                <w:sz w:val="22"/>
                <w:szCs w:val="22"/>
              </w:rPr>
              <w:t>ty.</w:t>
            </w:r>
          </w:p>
        </w:tc>
        <w:tc>
          <w:tcPr>
            <w:tcW w:w="5374" w:type="dxa"/>
            <w:shd w:val="clear" w:color="auto" w:fill="auto"/>
          </w:tcPr>
          <w:p w14:paraId="101D0916" w14:textId="77777777" w:rsidR="002A317A" w:rsidRPr="00EC4C3D" w:rsidRDefault="002A317A" w:rsidP="00FD77C2">
            <w:pPr>
              <w:rPr>
                <w:sz w:val="22"/>
                <w:szCs w:val="22"/>
              </w:rPr>
            </w:pPr>
          </w:p>
        </w:tc>
      </w:tr>
      <w:tr w:rsidR="002A317A" w:rsidRPr="00EC4C3D" w14:paraId="0BEDED4D" w14:textId="77777777" w:rsidTr="00FD77C2">
        <w:tc>
          <w:tcPr>
            <w:tcW w:w="5416" w:type="dxa"/>
            <w:shd w:val="clear" w:color="auto" w:fill="auto"/>
          </w:tcPr>
          <w:p w14:paraId="20F54644" w14:textId="77777777" w:rsidR="002A317A" w:rsidRPr="00EC4C3D" w:rsidRDefault="002A317A" w:rsidP="002A317A">
            <w:pPr>
              <w:pStyle w:val="NumberedBSA-AMLList"/>
              <w:numPr>
                <w:ilvl w:val="0"/>
                <w:numId w:val="48"/>
              </w:numPr>
              <w:spacing w:after="0"/>
              <w:rPr>
                <w:bCs/>
                <w:sz w:val="22"/>
                <w:szCs w:val="22"/>
              </w:rPr>
            </w:pPr>
            <w:r w:rsidRPr="00EC4C3D">
              <w:rPr>
                <w:bCs/>
                <w:sz w:val="22"/>
                <w:szCs w:val="22"/>
              </w:rPr>
              <w:t xml:space="preserve">On the basis of examination procedures </w:t>
            </w:r>
            <w:r w:rsidRPr="00EC4C3D">
              <w:rPr>
                <w:sz w:val="22"/>
                <w:szCs w:val="22"/>
              </w:rPr>
              <w:t xml:space="preserve">completed, including transaction testing, form a conclusion about the adequacy of policies, procedures, and processes associated with </w:t>
            </w:r>
            <w:r>
              <w:rPr>
                <w:sz w:val="22"/>
                <w:szCs w:val="22"/>
              </w:rPr>
              <w:t>prepaid access</w:t>
            </w:r>
            <w:r w:rsidRPr="00EC4C3D">
              <w:rPr>
                <w:sz w:val="22"/>
                <w:szCs w:val="22"/>
              </w:rPr>
              <w:t xml:space="preserve"> relationships.</w:t>
            </w:r>
          </w:p>
        </w:tc>
        <w:tc>
          <w:tcPr>
            <w:tcW w:w="5374" w:type="dxa"/>
            <w:shd w:val="clear" w:color="auto" w:fill="auto"/>
          </w:tcPr>
          <w:p w14:paraId="7C956FC6" w14:textId="77777777" w:rsidR="002A317A" w:rsidRPr="00EC4C3D" w:rsidRDefault="002A317A" w:rsidP="00FD77C2">
            <w:pPr>
              <w:rPr>
                <w:sz w:val="22"/>
                <w:szCs w:val="22"/>
              </w:rPr>
            </w:pPr>
          </w:p>
        </w:tc>
      </w:tr>
    </w:tbl>
    <w:p w14:paraId="44A841C8" w14:textId="77777777" w:rsidR="00666FEA" w:rsidRPr="002A317A" w:rsidRDefault="00666FEA" w:rsidP="002A317A">
      <w:bookmarkStart w:id="1" w:name="_GoBack"/>
      <w:bookmarkEnd w:id="1"/>
    </w:p>
    <w:sectPr w:rsidR="00666FEA" w:rsidRPr="002A317A" w:rsidSect="00C73169">
      <w:headerReference w:type="even" r:id="rId8"/>
      <w:headerReference w:type="default" r:id="rId9"/>
      <w:footerReference w:type="even" r:id="rId10"/>
      <w:footerReference w:type="default" r:id="rId11"/>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7D98" w14:textId="77777777" w:rsidR="001C597F" w:rsidRDefault="001C597F" w:rsidP="001C597F">
      <w:r>
        <w:separator/>
      </w:r>
    </w:p>
  </w:endnote>
  <w:endnote w:type="continuationSeparator" w:id="0">
    <w:p w14:paraId="5633C99E" w14:textId="77777777" w:rsidR="001C597F" w:rsidRDefault="001C597F" w:rsidP="001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037484"/>
      <w:docPartObj>
        <w:docPartGallery w:val="Page Numbers (Bottom of Page)"/>
        <w:docPartUnique/>
      </w:docPartObj>
    </w:sdtPr>
    <w:sdtEndPr>
      <w:rPr>
        <w:rStyle w:val="PageNumber"/>
      </w:rPr>
    </w:sdtEndPr>
    <w:sdtContent>
      <w:p w14:paraId="6BEDB2F8" w14:textId="7710F3EC"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0AC88" w14:textId="77777777" w:rsidR="001C597F" w:rsidRDefault="001C597F" w:rsidP="001C597F">
    <w:pPr>
      <w:pStyle w:val="Footer"/>
      <w:ind w:right="360"/>
    </w:pPr>
  </w:p>
  <w:p w14:paraId="41EAB179" w14:textId="77777777" w:rsidR="00000000" w:rsidRDefault="002A31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4421197"/>
      <w:docPartObj>
        <w:docPartGallery w:val="Page Numbers (Bottom of Page)"/>
        <w:docPartUnique/>
      </w:docPartObj>
    </w:sdtPr>
    <w:sdtEndPr>
      <w:rPr>
        <w:rStyle w:val="PageNumber"/>
      </w:rPr>
    </w:sdtEndPr>
    <w:sdtContent>
      <w:p w14:paraId="724FE43D" w14:textId="04593D23"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44419A" w14:textId="77777777" w:rsidR="00000000" w:rsidRDefault="002A31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F992" w14:textId="77777777" w:rsidR="001C597F" w:rsidRDefault="001C597F" w:rsidP="001C597F">
      <w:r>
        <w:separator/>
      </w:r>
    </w:p>
  </w:footnote>
  <w:footnote w:type="continuationSeparator" w:id="0">
    <w:p w14:paraId="7EF8D909" w14:textId="77777777" w:rsidR="001C597F" w:rsidRDefault="001C597F" w:rsidP="001C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1C9F" w14:textId="77777777" w:rsidR="00644539" w:rsidRDefault="00644539">
    <w:pPr>
      <w:pStyle w:val="Header"/>
    </w:pPr>
  </w:p>
  <w:p w14:paraId="480ABDD4" w14:textId="77777777" w:rsidR="00000000" w:rsidRDefault="002A31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DF3" w14:textId="36B61658" w:rsidR="001C597F" w:rsidRDefault="001C597F" w:rsidP="001C597F">
    <w:pPr>
      <w:pStyle w:val="Header"/>
      <w:jc w:val="right"/>
      <w:rPr>
        <w:sz w:val="22"/>
        <w:szCs w:val="22"/>
      </w:rPr>
    </w:pPr>
    <w:r w:rsidRPr="00DC1BB9">
      <w:rPr>
        <w:sz w:val="22"/>
        <w:szCs w:val="22"/>
      </w:rPr>
      <w:t>BSA/AML</w:t>
    </w:r>
    <w:r>
      <w:rPr>
        <w:sz w:val="22"/>
        <w:szCs w:val="22"/>
      </w:rPr>
      <w:t xml:space="preserve"> </w:t>
    </w:r>
    <w:r w:rsidR="00644539">
      <w:rPr>
        <w:sz w:val="22"/>
        <w:szCs w:val="22"/>
      </w:rPr>
      <w:t>Examination Procedures</w:t>
    </w:r>
  </w:p>
  <w:p w14:paraId="12E4F8F4" w14:textId="77777777" w:rsidR="00000000" w:rsidRDefault="002A31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3CDE"/>
    <w:multiLevelType w:val="hybridMultilevel"/>
    <w:tmpl w:val="AD8E9C4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9452F"/>
    <w:multiLevelType w:val="hybridMultilevel"/>
    <w:tmpl w:val="893654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C56520"/>
    <w:multiLevelType w:val="hybridMultilevel"/>
    <w:tmpl w:val="A90A5DC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F43338"/>
    <w:multiLevelType w:val="hybridMultilevel"/>
    <w:tmpl w:val="5D2E44FE"/>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C31D81"/>
    <w:multiLevelType w:val="hybridMultilevel"/>
    <w:tmpl w:val="92CC0E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1E95353"/>
    <w:multiLevelType w:val="hybridMultilevel"/>
    <w:tmpl w:val="C2B67C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2725D6D"/>
    <w:multiLevelType w:val="hybridMultilevel"/>
    <w:tmpl w:val="C4D80B56"/>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934133"/>
    <w:multiLevelType w:val="hybridMultilevel"/>
    <w:tmpl w:val="41444E3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F734AE"/>
    <w:multiLevelType w:val="hybridMultilevel"/>
    <w:tmpl w:val="FCC225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6C252F0"/>
    <w:multiLevelType w:val="hybridMultilevel"/>
    <w:tmpl w:val="1B74B9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28CB3275"/>
    <w:multiLevelType w:val="hybridMultilevel"/>
    <w:tmpl w:val="7674E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EE7CE0"/>
    <w:multiLevelType w:val="hybridMultilevel"/>
    <w:tmpl w:val="C1A2DB5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764151"/>
    <w:multiLevelType w:val="hybridMultilevel"/>
    <w:tmpl w:val="202E025E"/>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0A1AF3"/>
    <w:multiLevelType w:val="hybridMultilevel"/>
    <w:tmpl w:val="A71C732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E5E071E"/>
    <w:multiLevelType w:val="hybridMultilevel"/>
    <w:tmpl w:val="44A61FEE"/>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7675A"/>
    <w:multiLevelType w:val="hybridMultilevel"/>
    <w:tmpl w:val="CA909408"/>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33B13F9"/>
    <w:multiLevelType w:val="hybridMultilevel"/>
    <w:tmpl w:val="405EA11C"/>
    <w:lvl w:ilvl="0" w:tplc="FBD6E6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D6204"/>
    <w:multiLevelType w:val="hybridMultilevel"/>
    <w:tmpl w:val="34621E0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290310"/>
    <w:multiLevelType w:val="hybridMultilevel"/>
    <w:tmpl w:val="4F3C462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3217DA3"/>
    <w:multiLevelType w:val="hybridMultilevel"/>
    <w:tmpl w:val="31F867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36C4BD7"/>
    <w:multiLevelType w:val="hybridMultilevel"/>
    <w:tmpl w:val="E84400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443909E3"/>
    <w:multiLevelType w:val="hybridMultilevel"/>
    <w:tmpl w:val="EE1642F4"/>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4914F1"/>
    <w:multiLevelType w:val="hybridMultilevel"/>
    <w:tmpl w:val="28C43000"/>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cs="Times New Roman"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595007"/>
    <w:multiLevelType w:val="hybridMultilevel"/>
    <w:tmpl w:val="E9A299D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BB08EF"/>
    <w:multiLevelType w:val="hybridMultilevel"/>
    <w:tmpl w:val="F0F80AE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EB356D"/>
    <w:multiLevelType w:val="hybridMultilevel"/>
    <w:tmpl w:val="FC0A911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3D14BDF"/>
    <w:multiLevelType w:val="hybridMultilevel"/>
    <w:tmpl w:val="8048D3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409148B"/>
    <w:multiLevelType w:val="hybridMultilevel"/>
    <w:tmpl w:val="C17A0AE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55450AE"/>
    <w:multiLevelType w:val="hybridMultilevel"/>
    <w:tmpl w:val="BCD2598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793D9F"/>
    <w:multiLevelType w:val="hybridMultilevel"/>
    <w:tmpl w:val="1BDE8A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60462A62"/>
    <w:multiLevelType w:val="hybridMultilevel"/>
    <w:tmpl w:val="6B565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10D7B59"/>
    <w:multiLevelType w:val="hybridMultilevel"/>
    <w:tmpl w:val="5D782CE8"/>
    <w:lvl w:ilvl="0" w:tplc="67383292">
      <w:start w:val="1"/>
      <w:numFmt w:val="decimal"/>
      <w:lvlText w:val="%1."/>
      <w:lvlJc w:val="left"/>
      <w:pPr>
        <w:tabs>
          <w:tab w:val="num" w:pos="360"/>
        </w:tabs>
        <w:ind w:left="360" w:hanging="360"/>
      </w:pPr>
      <w:rPr>
        <w:b w:val="0"/>
      </w:r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1BD6AC8"/>
    <w:multiLevelType w:val="hybridMultilevel"/>
    <w:tmpl w:val="8F8A46F4"/>
    <w:lvl w:ilvl="0" w:tplc="04090001">
      <w:start w:val="1"/>
      <w:numFmt w:val="bullet"/>
      <w:lvlText w:val=""/>
      <w:lvlJc w:val="left"/>
      <w:pPr>
        <w:tabs>
          <w:tab w:val="num" w:pos="720"/>
        </w:tabs>
        <w:ind w:left="720" w:hanging="360"/>
      </w:pPr>
      <w:rPr>
        <w:rFonts w:ascii="Symbol" w:hAnsi="Symbol" w:hint="default"/>
      </w:rPr>
    </w:lvl>
    <w:lvl w:ilvl="1" w:tplc="61322194">
      <w:start w:val="1"/>
      <w:numFmt w:val="bullet"/>
      <w:pStyle w:val="Bullet-3rdlevelBSA-AML"/>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2756DC1"/>
    <w:multiLevelType w:val="hybridMultilevel"/>
    <w:tmpl w:val="23E2ED2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5A130EE"/>
    <w:multiLevelType w:val="hybridMultilevel"/>
    <w:tmpl w:val="D24A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20559"/>
    <w:multiLevelType w:val="hybridMultilevel"/>
    <w:tmpl w:val="9078F2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C7166A6"/>
    <w:multiLevelType w:val="hybridMultilevel"/>
    <w:tmpl w:val="C1B843BC"/>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83293B"/>
    <w:multiLevelType w:val="hybridMultilevel"/>
    <w:tmpl w:val="DA243F3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C009EC"/>
    <w:multiLevelType w:val="hybridMultilevel"/>
    <w:tmpl w:val="8A9CEC7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5038F6"/>
    <w:multiLevelType w:val="hybridMultilevel"/>
    <w:tmpl w:val="69D44FD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35138B7"/>
    <w:multiLevelType w:val="hybridMultilevel"/>
    <w:tmpl w:val="E6829CE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3EA3949"/>
    <w:multiLevelType w:val="hybridMultilevel"/>
    <w:tmpl w:val="0256E7B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8A36398"/>
    <w:multiLevelType w:val="hybridMultilevel"/>
    <w:tmpl w:val="2DBCF20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6B655D"/>
    <w:multiLevelType w:val="hybridMultilevel"/>
    <w:tmpl w:val="FAF4F43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0F77D7"/>
    <w:multiLevelType w:val="hybridMultilevel"/>
    <w:tmpl w:val="9294AE6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F329FC"/>
    <w:multiLevelType w:val="hybridMultilevel"/>
    <w:tmpl w:val="3D787A1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7E5D068E"/>
    <w:multiLevelType w:val="hybridMultilevel"/>
    <w:tmpl w:val="B680C45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4"/>
  </w:num>
  <w:num w:numId="2">
    <w:abstractNumId w:val="13"/>
  </w:num>
  <w:num w:numId="3">
    <w:abstractNumId w:val="34"/>
  </w:num>
  <w:num w:numId="4">
    <w:abstractNumId w:val="41"/>
  </w:num>
  <w:num w:numId="5">
    <w:abstractNumId w:val="7"/>
  </w:num>
  <w:num w:numId="6">
    <w:abstractNumId w:val="46"/>
  </w:num>
  <w:num w:numId="7">
    <w:abstractNumId w:val="25"/>
  </w:num>
  <w:num w:numId="8">
    <w:abstractNumId w:val="44"/>
  </w:num>
  <w:num w:numId="9">
    <w:abstractNumId w:val="42"/>
  </w:num>
  <w:num w:numId="10">
    <w:abstractNumId w:val="5"/>
  </w:num>
  <w:num w:numId="11">
    <w:abstractNumId w:val="32"/>
  </w:num>
  <w:num w:numId="12">
    <w:abstractNumId w:val="20"/>
  </w:num>
  <w:num w:numId="13">
    <w:abstractNumId w:val="48"/>
  </w:num>
  <w:num w:numId="14">
    <w:abstractNumId w:val="40"/>
  </w:num>
  <w:num w:numId="15">
    <w:abstractNumId w:val="3"/>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39"/>
  </w:num>
  <w:num w:numId="22">
    <w:abstractNumId w:val="1"/>
  </w:num>
  <w:num w:numId="23">
    <w:abstractNumId w:val="28"/>
  </w:num>
  <w:num w:numId="24">
    <w:abstractNumId w:val="11"/>
  </w:num>
  <w:num w:numId="25">
    <w:abstractNumId w:val="2"/>
  </w:num>
  <w:num w:numId="26">
    <w:abstractNumId w:val="14"/>
  </w:num>
  <w:num w:numId="27">
    <w:abstractNumId w:val="0"/>
  </w:num>
  <w:num w:numId="28">
    <w:abstractNumId w:val="33"/>
  </w:num>
  <w:num w:numId="29">
    <w:abstractNumId w:val="10"/>
  </w:num>
  <w:num w:numId="30">
    <w:abstractNumId w:val="47"/>
  </w:num>
  <w:num w:numId="31">
    <w:abstractNumId w:val="26"/>
  </w:num>
  <w:num w:numId="32">
    <w:abstractNumId w:val="30"/>
  </w:num>
  <w:num w:numId="33">
    <w:abstractNumId w:val="16"/>
  </w:num>
  <w:num w:numId="34">
    <w:abstractNumId w:val="45"/>
  </w:num>
  <w:num w:numId="35">
    <w:abstractNumId w:val="22"/>
  </w:num>
  <w:num w:numId="36">
    <w:abstractNumId w:val="38"/>
  </w:num>
  <w:num w:numId="37">
    <w:abstractNumId w:val="8"/>
  </w:num>
  <w:num w:numId="38">
    <w:abstractNumId w:val="29"/>
  </w:num>
  <w:num w:numId="39">
    <w:abstractNumId w:val="6"/>
  </w:num>
  <w:num w:numId="40">
    <w:abstractNumId w:val="35"/>
  </w:num>
  <w:num w:numId="41">
    <w:abstractNumId w:val="18"/>
  </w:num>
  <w:num w:numId="42">
    <w:abstractNumId w:val="12"/>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15"/>
  </w:num>
  <w:num w:numId="47">
    <w:abstractNumId w:val="23"/>
  </w:num>
  <w:num w:numId="48">
    <w:abstractNumId w:val="19"/>
  </w:num>
  <w:num w:numId="49">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69"/>
    <w:rsid w:val="000136F5"/>
    <w:rsid w:val="00027635"/>
    <w:rsid w:val="000435AD"/>
    <w:rsid w:val="00065C4D"/>
    <w:rsid w:val="000B6182"/>
    <w:rsid w:val="00153D87"/>
    <w:rsid w:val="001C597F"/>
    <w:rsid w:val="00214C57"/>
    <w:rsid w:val="002456DC"/>
    <w:rsid w:val="002A317A"/>
    <w:rsid w:val="002C7896"/>
    <w:rsid w:val="003017B2"/>
    <w:rsid w:val="00381955"/>
    <w:rsid w:val="004076B6"/>
    <w:rsid w:val="00437489"/>
    <w:rsid w:val="0049515A"/>
    <w:rsid w:val="004B1A48"/>
    <w:rsid w:val="0053220B"/>
    <w:rsid w:val="00545344"/>
    <w:rsid w:val="00551E98"/>
    <w:rsid w:val="0059687F"/>
    <w:rsid w:val="005A483D"/>
    <w:rsid w:val="005C0EA2"/>
    <w:rsid w:val="005F5D49"/>
    <w:rsid w:val="00644539"/>
    <w:rsid w:val="0066634D"/>
    <w:rsid w:val="00666FEA"/>
    <w:rsid w:val="00667D9C"/>
    <w:rsid w:val="00693331"/>
    <w:rsid w:val="006938EE"/>
    <w:rsid w:val="00695FE5"/>
    <w:rsid w:val="00711436"/>
    <w:rsid w:val="0074091F"/>
    <w:rsid w:val="007C1396"/>
    <w:rsid w:val="007D2166"/>
    <w:rsid w:val="008218DF"/>
    <w:rsid w:val="0082386F"/>
    <w:rsid w:val="00827065"/>
    <w:rsid w:val="00833BB0"/>
    <w:rsid w:val="008C1A62"/>
    <w:rsid w:val="008D1B70"/>
    <w:rsid w:val="0092155F"/>
    <w:rsid w:val="00942A1C"/>
    <w:rsid w:val="009A7808"/>
    <w:rsid w:val="009E57B6"/>
    <w:rsid w:val="00A13081"/>
    <w:rsid w:val="00A33330"/>
    <w:rsid w:val="00A37C93"/>
    <w:rsid w:val="00A9534A"/>
    <w:rsid w:val="00AB7A7D"/>
    <w:rsid w:val="00AC3068"/>
    <w:rsid w:val="00B0373F"/>
    <w:rsid w:val="00B57732"/>
    <w:rsid w:val="00BD1029"/>
    <w:rsid w:val="00BD16CB"/>
    <w:rsid w:val="00C40DD6"/>
    <w:rsid w:val="00C71445"/>
    <w:rsid w:val="00C73169"/>
    <w:rsid w:val="00C7598C"/>
    <w:rsid w:val="00CC10D0"/>
    <w:rsid w:val="00CE1F59"/>
    <w:rsid w:val="00CF0853"/>
    <w:rsid w:val="00CF7AF0"/>
    <w:rsid w:val="00D8007E"/>
    <w:rsid w:val="00D95CB7"/>
    <w:rsid w:val="00DA7E7B"/>
    <w:rsid w:val="00DB59F9"/>
    <w:rsid w:val="00EC37F2"/>
    <w:rsid w:val="00F338D1"/>
    <w:rsid w:val="00F410AB"/>
    <w:rsid w:val="00F8164C"/>
    <w:rsid w:val="00FD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4A3731"/>
  <w14:defaultImageDpi w14:val="300"/>
  <w15:chartTrackingRefBased/>
  <w15:docId w15:val="{B954B535-FA18-0B4B-81C9-0E80C28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97F"/>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C59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706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7C139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SA-AML">
    <w:name w:val="Body-BSA-AML"/>
    <w:link w:val="Body-BSA-AMLChar"/>
    <w:rsid w:val="001C597F"/>
    <w:pPr>
      <w:tabs>
        <w:tab w:val="left" w:pos="360"/>
      </w:tabs>
      <w:spacing w:after="200"/>
    </w:pPr>
    <w:rPr>
      <w:rFonts w:ascii="Times New Roman" w:eastAsia="Times New Roman" w:hAnsi="Times New Roman" w:cs="Times New Roman"/>
      <w:szCs w:val="20"/>
    </w:rPr>
  </w:style>
  <w:style w:type="character" w:customStyle="1" w:styleId="Head7-BSA-AMLCharChar">
    <w:name w:val="Head 7-BSA-AML Char Char"/>
    <w:rsid w:val="001C597F"/>
    <w:rPr>
      <w:b/>
      <w:sz w:val="24"/>
      <w:lang w:val="en-US" w:eastAsia="en-US"/>
    </w:rPr>
  </w:style>
  <w:style w:type="character" w:customStyle="1" w:styleId="Body-BSA-AMLChar">
    <w:name w:val="Body-BSA-AML Char"/>
    <w:link w:val="Body-BSA-AML"/>
    <w:locked/>
    <w:rsid w:val="001C597F"/>
    <w:rPr>
      <w:rFonts w:ascii="Times New Roman" w:eastAsia="Times New Roman" w:hAnsi="Times New Roman" w:cs="Times New Roman"/>
      <w:szCs w:val="20"/>
    </w:rPr>
  </w:style>
  <w:style w:type="paragraph" w:customStyle="1" w:styleId="Head3-BSA-AML">
    <w:name w:val="Head 3-BSA-AML"/>
    <w:basedOn w:val="Heading3"/>
    <w:next w:val="Body-BSA-AML"/>
    <w:rsid w:val="001C597F"/>
    <w:pPr>
      <w:keepLines w:val="0"/>
      <w:spacing w:before="120" w:after="240"/>
      <w:jc w:val="center"/>
    </w:pPr>
    <w:rPr>
      <w:rFonts w:ascii="Times New Roman" w:eastAsia="Times New Roman" w:hAnsi="Times New Roman" w:cs="Arial"/>
      <w:b/>
      <w:bCs/>
      <w:color w:val="auto"/>
      <w:sz w:val="44"/>
      <w:szCs w:val="26"/>
    </w:rPr>
  </w:style>
  <w:style w:type="paragraph" w:customStyle="1" w:styleId="Numberedlist-BSA-AML">
    <w:name w:val="Numbered list-BSA-AML"/>
    <w:basedOn w:val="Normal"/>
    <w:next w:val="Body-BSA-AML"/>
    <w:rsid w:val="001C597F"/>
    <w:pPr>
      <w:numPr>
        <w:numId w:val="1"/>
      </w:numPr>
      <w:spacing w:after="200"/>
    </w:pPr>
    <w:rPr>
      <w:sz w:val="24"/>
      <w:szCs w:val="24"/>
    </w:rPr>
  </w:style>
  <w:style w:type="paragraph" w:customStyle="1" w:styleId="Bulletlist2ndlevel-BSA-AML">
    <w:name w:val="Bullet list 2nd level-BSA-AML"/>
    <w:basedOn w:val="ListBullet"/>
    <w:next w:val="Body-BSA-AML"/>
    <w:link w:val="Bulletlist2ndlevel-BSA-AMLChar"/>
    <w:rsid w:val="001C597F"/>
    <w:pPr>
      <w:spacing w:after="200"/>
      <w:contextualSpacing w:val="0"/>
    </w:pPr>
    <w:rPr>
      <w:sz w:val="24"/>
    </w:rPr>
  </w:style>
  <w:style w:type="character" w:customStyle="1" w:styleId="Bulletlist2ndlevel-BSA-AMLChar">
    <w:name w:val="Bullet list 2nd level-BSA-AML Char"/>
    <w:link w:val="Bulletlist2ndlevel-BSA-AML"/>
    <w:locked/>
    <w:rsid w:val="001C597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C597F"/>
    <w:rPr>
      <w:rFonts w:asciiTheme="majorHAnsi" w:eastAsiaTheme="majorEastAsia" w:hAnsiTheme="majorHAnsi" w:cstheme="majorBidi"/>
      <w:color w:val="1F3763" w:themeColor="accent1" w:themeShade="7F"/>
    </w:rPr>
  </w:style>
  <w:style w:type="paragraph" w:styleId="ListBullet">
    <w:name w:val="List Bullet"/>
    <w:basedOn w:val="Normal"/>
    <w:uiPriority w:val="99"/>
    <w:semiHidden/>
    <w:unhideWhenUsed/>
    <w:rsid w:val="001C597F"/>
    <w:pPr>
      <w:tabs>
        <w:tab w:val="num" w:pos="360"/>
      </w:tabs>
      <w:ind w:left="360" w:hanging="360"/>
      <w:contextualSpacing/>
    </w:pPr>
  </w:style>
  <w:style w:type="paragraph" w:styleId="Header">
    <w:name w:val="header"/>
    <w:basedOn w:val="Normal"/>
    <w:link w:val="HeaderChar"/>
    <w:uiPriority w:val="99"/>
    <w:unhideWhenUsed/>
    <w:rsid w:val="001C597F"/>
    <w:pPr>
      <w:tabs>
        <w:tab w:val="center" w:pos="4680"/>
        <w:tab w:val="right" w:pos="9360"/>
      </w:tabs>
    </w:pPr>
  </w:style>
  <w:style w:type="character" w:customStyle="1" w:styleId="HeaderChar">
    <w:name w:val="Header Char"/>
    <w:basedOn w:val="DefaultParagraphFont"/>
    <w:link w:val="Header"/>
    <w:uiPriority w:val="99"/>
    <w:rsid w:val="001C59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97F"/>
    <w:pPr>
      <w:tabs>
        <w:tab w:val="center" w:pos="4680"/>
        <w:tab w:val="right" w:pos="9360"/>
      </w:tabs>
    </w:pPr>
  </w:style>
  <w:style w:type="character" w:customStyle="1" w:styleId="FooterChar">
    <w:name w:val="Footer Char"/>
    <w:basedOn w:val="DefaultParagraphFont"/>
    <w:link w:val="Footer"/>
    <w:uiPriority w:val="99"/>
    <w:rsid w:val="001C597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C597F"/>
  </w:style>
  <w:style w:type="paragraph" w:customStyle="1" w:styleId="Head4-BSA-AML">
    <w:name w:val="Head 4-BSA-AML"/>
    <w:basedOn w:val="Heading4"/>
    <w:next w:val="Body-BSA-AML"/>
    <w:rsid w:val="00827065"/>
    <w:pPr>
      <w:keepLines w:val="0"/>
      <w:tabs>
        <w:tab w:val="left" w:pos="360"/>
      </w:tabs>
      <w:spacing w:before="0" w:after="200"/>
    </w:pPr>
    <w:rPr>
      <w:rFonts w:ascii="Times New Roman" w:eastAsia="Times New Roman" w:hAnsi="Times New Roman" w:cs="Times New Roman"/>
      <w:b/>
      <w:bCs/>
      <w:i w:val="0"/>
      <w:iCs w:val="0"/>
      <w:color w:val="auto"/>
      <w:sz w:val="36"/>
      <w:szCs w:val="28"/>
    </w:rPr>
  </w:style>
  <w:style w:type="paragraph" w:customStyle="1" w:styleId="BulletlistBSA-AML">
    <w:name w:val="Bullet list (BSA-AML)"/>
    <w:next w:val="Body-BSA-AML"/>
    <w:link w:val="BulletlistBSA-AMLCharChar"/>
    <w:rsid w:val="00827065"/>
    <w:pPr>
      <w:numPr>
        <w:numId w:val="2"/>
      </w:numPr>
      <w:spacing w:after="200"/>
    </w:pPr>
    <w:rPr>
      <w:rFonts w:ascii="Times New Roman" w:eastAsia="Times New Roman" w:hAnsi="Times New Roman" w:cs="Times New Roman"/>
      <w:szCs w:val="20"/>
    </w:rPr>
  </w:style>
  <w:style w:type="character" w:customStyle="1" w:styleId="BulletlistBSA-AMLCharChar">
    <w:name w:val="Bullet list (BSA-AML) Char Char"/>
    <w:basedOn w:val="DefaultParagraphFont"/>
    <w:link w:val="BulletlistBSA-AML"/>
    <w:rsid w:val="00827065"/>
    <w:rPr>
      <w:rFonts w:ascii="Times New Roman" w:eastAsia="Times New Roman" w:hAnsi="Times New Roman" w:cs="Times New Roman"/>
      <w:szCs w:val="20"/>
    </w:rPr>
  </w:style>
  <w:style w:type="character" w:customStyle="1" w:styleId="Bodyindent-BSA-AMLChar">
    <w:name w:val="Body indent-BSA-AML Char"/>
    <w:basedOn w:val="DefaultParagraphFont"/>
    <w:rsid w:val="00827065"/>
    <w:rPr>
      <w:sz w:val="24"/>
      <w:lang w:val="en-US" w:eastAsia="en-US" w:bidi="ar-SA"/>
    </w:rPr>
  </w:style>
  <w:style w:type="character" w:customStyle="1" w:styleId="Heading4Char">
    <w:name w:val="Heading 4 Char"/>
    <w:basedOn w:val="DefaultParagraphFont"/>
    <w:link w:val="Heading4"/>
    <w:uiPriority w:val="9"/>
    <w:semiHidden/>
    <w:rsid w:val="00827065"/>
    <w:rPr>
      <w:rFonts w:asciiTheme="majorHAnsi" w:eastAsiaTheme="majorEastAsia" w:hAnsiTheme="majorHAnsi" w:cstheme="majorBidi"/>
      <w:i/>
      <w:iCs/>
      <w:color w:val="2F5496" w:themeColor="accent1" w:themeShade="BF"/>
      <w:sz w:val="20"/>
      <w:szCs w:val="20"/>
    </w:rPr>
  </w:style>
  <w:style w:type="paragraph" w:customStyle="1" w:styleId="NumberedBSA-AMLList">
    <w:name w:val="Numbered BSA-AML List"/>
    <w:basedOn w:val="Normal"/>
    <w:next w:val="Body-BSA-AML"/>
    <w:link w:val="NumberedBSA-AMLListChar"/>
    <w:rsid w:val="0066634D"/>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66634D"/>
    <w:rPr>
      <w:rFonts w:ascii="Times New Roman" w:eastAsia="Times New Roman" w:hAnsi="Times New Roman" w:cs="Times New Roman"/>
      <w:szCs w:val="20"/>
    </w:rPr>
  </w:style>
  <w:style w:type="character" w:styleId="FootnoteReference">
    <w:name w:val="footnote reference"/>
    <w:aliases w:val="Footnote Reference-BSA-AML"/>
    <w:basedOn w:val="DefaultParagraphFont"/>
    <w:uiPriority w:val="99"/>
    <w:rsid w:val="008218DF"/>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8218DF"/>
    <w:pPr>
      <w:spacing w:after="120"/>
    </w:pPr>
  </w:style>
  <w:style w:type="character" w:customStyle="1" w:styleId="Bodyfootnote-BSA-AMLChar">
    <w:name w:val="Body footnote-BSA-AML Char"/>
    <w:basedOn w:val="DefaultParagraphFont"/>
    <w:link w:val="Bodyfootnote-BSA-AML"/>
    <w:rsid w:val="008218DF"/>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8218DF"/>
  </w:style>
  <w:style w:type="character" w:customStyle="1" w:styleId="FootnoteTextChar">
    <w:name w:val="Footnote Text Char"/>
    <w:basedOn w:val="DefaultParagraphFont"/>
    <w:link w:val="FootnoteText"/>
    <w:uiPriority w:val="99"/>
    <w:rsid w:val="008218DF"/>
    <w:rPr>
      <w:rFonts w:ascii="Times New Roman" w:eastAsia="Times New Roman" w:hAnsi="Times New Roman" w:cs="Times New Roman"/>
      <w:sz w:val="20"/>
      <w:szCs w:val="20"/>
    </w:rPr>
  </w:style>
  <w:style w:type="paragraph" w:styleId="ListParagraph">
    <w:name w:val="List Paragraph"/>
    <w:basedOn w:val="Normal"/>
    <w:qFormat/>
    <w:rsid w:val="0074091F"/>
    <w:pPr>
      <w:ind w:left="720"/>
    </w:pPr>
    <w:rPr>
      <w:sz w:val="24"/>
      <w:szCs w:val="24"/>
    </w:rPr>
  </w:style>
  <w:style w:type="paragraph" w:customStyle="1" w:styleId="Bodyindent-BSA-AML">
    <w:name w:val="Body indent-BSA-AML"/>
    <w:basedOn w:val="Body-BSA-AML"/>
    <w:next w:val="Body-BSA-AML"/>
    <w:rsid w:val="00214C57"/>
    <w:pPr>
      <w:ind w:left="360"/>
    </w:pPr>
  </w:style>
  <w:style w:type="paragraph" w:customStyle="1" w:styleId="Bullet-3rdlevelBSA-AML">
    <w:name w:val="Bullet-3rd level BSA-AML"/>
    <w:basedOn w:val="BulletlistBSA-AML"/>
    <w:next w:val="Body-BSA-AML"/>
    <w:rsid w:val="009A7808"/>
    <w:pPr>
      <w:widowControl w:val="0"/>
      <w:numPr>
        <w:ilvl w:val="1"/>
        <w:numId w:val="3"/>
      </w:numPr>
      <w:tabs>
        <w:tab w:val="clear" w:pos="1080"/>
      </w:tabs>
      <w:autoSpaceDE w:val="0"/>
      <w:autoSpaceDN w:val="0"/>
      <w:adjustRightInd w:val="0"/>
    </w:pPr>
    <w:rPr>
      <w:szCs w:val="24"/>
    </w:rPr>
  </w:style>
  <w:style w:type="paragraph" w:customStyle="1" w:styleId="Head7-BSA-AML">
    <w:name w:val="Head 7-BSA-AML"/>
    <w:basedOn w:val="Heading7"/>
    <w:next w:val="Body-BSA-AML"/>
    <w:link w:val="Head7-BSA-AMLChar"/>
    <w:rsid w:val="007C1396"/>
    <w:pPr>
      <w:keepNext w:val="0"/>
      <w:keepLines w:val="0"/>
      <w:spacing w:before="0"/>
    </w:pPr>
    <w:rPr>
      <w:rFonts w:ascii="Times New Roman" w:eastAsia="Times New Roman" w:hAnsi="Times New Roman" w:cs="Times New Roman"/>
      <w:b/>
      <w:i w:val="0"/>
      <w:iCs w:val="0"/>
      <w:color w:val="auto"/>
      <w:sz w:val="24"/>
      <w:szCs w:val="24"/>
    </w:rPr>
  </w:style>
  <w:style w:type="character" w:customStyle="1" w:styleId="Head7-BSA-AMLChar">
    <w:name w:val="Head 7-BSA-AML Char"/>
    <w:basedOn w:val="DefaultParagraphFont"/>
    <w:link w:val="Head7-BSA-AML"/>
    <w:rsid w:val="007C1396"/>
    <w:rPr>
      <w:rFonts w:ascii="Times New Roman" w:eastAsia="Times New Roman" w:hAnsi="Times New Roman" w:cs="Times New Roman"/>
      <w:b/>
    </w:rPr>
  </w:style>
  <w:style w:type="character" w:customStyle="1" w:styleId="Heading7Char">
    <w:name w:val="Heading 7 Char"/>
    <w:basedOn w:val="DefaultParagraphFont"/>
    <w:link w:val="Heading7"/>
    <w:uiPriority w:val="9"/>
    <w:semiHidden/>
    <w:rsid w:val="007C1396"/>
    <w:rPr>
      <w:rFonts w:asciiTheme="majorHAnsi" w:eastAsiaTheme="majorEastAsia" w:hAnsiTheme="majorHAnsi" w:cstheme="majorBidi"/>
      <w:i/>
      <w:iCs/>
      <w:color w:val="1F3763" w:themeColor="accent1" w:themeShade="7F"/>
      <w:sz w:val="20"/>
      <w:szCs w:val="20"/>
    </w:rPr>
  </w:style>
  <w:style w:type="character" w:styleId="Hyperlink">
    <w:name w:val="Hyperlink"/>
    <w:basedOn w:val="DefaultParagraphFont"/>
    <w:rsid w:val="00F81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100DB-787A-5346-BD88-AA1DE97F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2743</Characters>
  <Application>Microsoft Office Word</Application>
  <DocSecurity>0</DocSecurity>
  <Lines>22</Lines>
  <Paragraphs>6</Paragraphs>
  <ScaleCrop>false</ScaleCrop>
  <Company>CPS</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Attard</dc:creator>
  <cp:keywords/>
  <dc:description/>
  <cp:lastModifiedBy>Adam J. Attard</cp:lastModifiedBy>
  <cp:revision>2</cp:revision>
  <dcterms:created xsi:type="dcterms:W3CDTF">2018-06-06T15:22:00Z</dcterms:created>
  <dcterms:modified xsi:type="dcterms:W3CDTF">2018-06-06T15:22:00Z</dcterms:modified>
</cp:coreProperties>
</file>