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324B" w14:textId="77777777" w:rsidR="0059687F" w:rsidRPr="0086047B" w:rsidRDefault="0059687F" w:rsidP="0059687F">
      <w:pPr>
        <w:pStyle w:val="Head3-BSA-AML"/>
        <w:rPr>
          <w:sz w:val="36"/>
          <w:szCs w:val="36"/>
        </w:rPr>
      </w:pPr>
      <w:bookmarkStart w:id="0" w:name="_Toc135558598"/>
      <w:r w:rsidRPr="0086047B">
        <w:rPr>
          <w:sz w:val="36"/>
          <w:szCs w:val="36"/>
        </w:rPr>
        <w:t>Examination Procedures</w:t>
      </w:r>
    </w:p>
    <w:p w14:paraId="5A7953BE" w14:textId="77777777" w:rsidR="0059687F" w:rsidRDefault="0059687F" w:rsidP="0059687F">
      <w:pPr>
        <w:pStyle w:val="Head4-BSA-AML"/>
        <w:jc w:val="center"/>
      </w:pPr>
      <w:r>
        <w:t>Automated Clearing House Transactions</w:t>
      </w:r>
      <w:bookmarkEnd w:id="0"/>
    </w:p>
    <w:p w14:paraId="7B8E7A75" w14:textId="77777777" w:rsidR="0059687F" w:rsidRPr="00F01823" w:rsidRDefault="0059687F" w:rsidP="0059687F">
      <w:pPr>
        <w:pStyle w:val="Body-BSA-AML"/>
        <w:rPr>
          <w:i/>
        </w:rPr>
      </w:pPr>
      <w:bookmarkStart w:id="1" w:name="_Toc133888448"/>
      <w:r>
        <w:rPr>
          <w:rStyle w:val="Head7-BSA-AMLCharChar"/>
        </w:rPr>
        <w:t>Objective.</w:t>
      </w:r>
      <w:r>
        <w:t xml:space="preserve">  </w:t>
      </w:r>
      <w:r w:rsidRPr="00F01823">
        <w:rPr>
          <w:i/>
        </w:rPr>
        <w:t>Assess the adequacy of the bank</w:t>
      </w:r>
      <w:r>
        <w:rPr>
          <w:i/>
        </w:rPr>
        <w:t>’</w:t>
      </w:r>
      <w:r w:rsidRPr="00F01823">
        <w:rPr>
          <w:i/>
        </w:rPr>
        <w:t xml:space="preserve">s systems to manage the risks associated with automated clearing house (ACH) </w:t>
      </w:r>
      <w:r>
        <w:rPr>
          <w:i/>
        </w:rPr>
        <w:t xml:space="preserve">and international ACH </w:t>
      </w:r>
      <w:r w:rsidRPr="00F01823">
        <w:rPr>
          <w:i/>
        </w:rPr>
        <w:t>transactions</w:t>
      </w:r>
      <w:r>
        <w:rPr>
          <w:i/>
        </w:rPr>
        <w:t xml:space="preserve"> (IAT)</w:t>
      </w:r>
      <w:r w:rsidRPr="00F01823">
        <w:rPr>
          <w:i/>
        </w:rPr>
        <w:t xml:space="preserve"> and management</w:t>
      </w:r>
      <w:r>
        <w:rPr>
          <w:i/>
        </w:rPr>
        <w:t>’</w:t>
      </w:r>
      <w:r w:rsidRPr="00F01823">
        <w:rPr>
          <w:i/>
        </w:rPr>
        <w:t>s ability to implement effective monitoring and reporting systems.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5386"/>
      </w:tblGrid>
      <w:tr w:rsidR="0059687F" w:rsidRPr="00EC4C3D" w14:paraId="76B98647" w14:textId="77777777" w:rsidTr="00FD77C2">
        <w:trPr>
          <w:tblHeader/>
        </w:trPr>
        <w:tc>
          <w:tcPr>
            <w:tcW w:w="5508" w:type="dxa"/>
            <w:tcBorders>
              <w:bottom w:val="single" w:sz="4" w:space="0" w:color="auto"/>
            </w:tcBorders>
            <w:shd w:val="clear" w:color="auto" w:fill="E0E0E0"/>
          </w:tcPr>
          <w:p w14:paraId="23FCE3ED" w14:textId="77777777" w:rsidR="0059687F" w:rsidRPr="00EC4C3D" w:rsidRDefault="0059687F"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37C0B3AB" w14:textId="77777777" w:rsidR="0059687F" w:rsidRPr="00EC4C3D" w:rsidRDefault="0059687F" w:rsidP="00FD77C2">
            <w:pPr>
              <w:rPr>
                <w:b/>
                <w:sz w:val="28"/>
                <w:szCs w:val="28"/>
              </w:rPr>
            </w:pPr>
            <w:r w:rsidRPr="00EC4C3D">
              <w:rPr>
                <w:b/>
                <w:sz w:val="28"/>
                <w:szCs w:val="28"/>
              </w:rPr>
              <w:t>Comments</w:t>
            </w:r>
          </w:p>
        </w:tc>
      </w:tr>
      <w:tr w:rsidR="0059687F" w:rsidRPr="00EC4C3D" w14:paraId="517C0EAC" w14:textId="77777777" w:rsidTr="00FD77C2">
        <w:tc>
          <w:tcPr>
            <w:tcW w:w="5508" w:type="dxa"/>
            <w:shd w:val="clear" w:color="auto" w:fill="auto"/>
          </w:tcPr>
          <w:p w14:paraId="466145DB" w14:textId="77777777" w:rsidR="0059687F" w:rsidRPr="00EC4C3D" w:rsidRDefault="0059687F" w:rsidP="0059687F">
            <w:pPr>
              <w:numPr>
                <w:ilvl w:val="0"/>
                <w:numId w:val="45"/>
              </w:numPr>
              <w:rPr>
                <w:sz w:val="22"/>
                <w:szCs w:val="22"/>
              </w:rPr>
            </w:pPr>
            <w:r w:rsidRPr="00EC4C3D">
              <w:rPr>
                <w:sz w:val="22"/>
                <w:szCs w:val="22"/>
              </w:rPr>
              <w:t>Review the policies, procedures, and processes related to ACH transactions</w:t>
            </w:r>
            <w:r>
              <w:rPr>
                <w:sz w:val="22"/>
                <w:szCs w:val="22"/>
              </w:rPr>
              <w:t>, including IATs</w:t>
            </w:r>
            <w:r w:rsidRPr="00EC4C3D">
              <w:rPr>
                <w:sz w:val="22"/>
                <w:szCs w:val="22"/>
              </w:rPr>
              <w:t>.  Evaluate the adequacy of the policies, procedures, and processes given the bank’s ACH transactions</w:t>
            </w:r>
            <w:r>
              <w:rPr>
                <w:sz w:val="22"/>
                <w:szCs w:val="22"/>
              </w:rPr>
              <w:t>, including IATs,</w:t>
            </w:r>
            <w:r w:rsidRPr="00EC4C3D">
              <w:rPr>
                <w:sz w:val="22"/>
                <w:szCs w:val="22"/>
              </w:rPr>
              <w:t xml:space="preserve"> and the risks they present.  Assess whether the controls are adequate to reasonably protect the bank from money laundering and terrorist financing.</w:t>
            </w:r>
          </w:p>
        </w:tc>
        <w:tc>
          <w:tcPr>
            <w:tcW w:w="5508" w:type="dxa"/>
            <w:shd w:val="clear" w:color="auto" w:fill="auto"/>
          </w:tcPr>
          <w:p w14:paraId="1CC1CA56" w14:textId="77777777" w:rsidR="0059687F" w:rsidRPr="00EC4C3D" w:rsidRDefault="0059687F" w:rsidP="00FD77C2">
            <w:pPr>
              <w:rPr>
                <w:sz w:val="22"/>
                <w:szCs w:val="22"/>
              </w:rPr>
            </w:pPr>
          </w:p>
        </w:tc>
      </w:tr>
      <w:tr w:rsidR="0059687F" w:rsidRPr="00EC4C3D" w14:paraId="2DE8A29B" w14:textId="77777777" w:rsidTr="00FD77C2">
        <w:tc>
          <w:tcPr>
            <w:tcW w:w="5508" w:type="dxa"/>
            <w:shd w:val="clear" w:color="auto" w:fill="auto"/>
          </w:tcPr>
          <w:p w14:paraId="1F4BB6A0" w14:textId="77777777" w:rsidR="0059687F" w:rsidRPr="00EC4C3D" w:rsidRDefault="0059687F" w:rsidP="0059687F">
            <w:pPr>
              <w:numPr>
                <w:ilvl w:val="0"/>
                <w:numId w:val="45"/>
              </w:numPr>
              <w:rPr>
                <w:sz w:val="22"/>
                <w:szCs w:val="22"/>
              </w:rPr>
            </w:pPr>
            <w:r w:rsidRPr="00EC4C3D">
              <w:rPr>
                <w:bCs/>
                <w:sz w:val="22"/>
                <w:szCs w:val="22"/>
              </w:rPr>
              <w:t>From</w:t>
            </w:r>
            <w:r w:rsidRPr="00EC4C3D">
              <w:rPr>
                <w:sz w:val="22"/>
                <w:szCs w:val="22"/>
              </w:rPr>
              <w:t xml:space="preserve"> review of MIS and internal risk rating factors, determine whether the bank </w:t>
            </w:r>
            <w:r w:rsidRPr="00EC4C3D">
              <w:rPr>
                <w:iCs/>
                <w:sz w:val="22"/>
                <w:szCs w:val="22"/>
              </w:rPr>
              <w:t xml:space="preserve">effectively </w:t>
            </w:r>
            <w:r w:rsidRPr="00EC4C3D">
              <w:rPr>
                <w:sz w:val="22"/>
                <w:szCs w:val="22"/>
              </w:rPr>
              <w:t>identifies and monitors high</w:t>
            </w:r>
            <w:r>
              <w:rPr>
                <w:sz w:val="22"/>
                <w:szCs w:val="22"/>
              </w:rPr>
              <w:t>er</w:t>
            </w:r>
            <w:r w:rsidRPr="00EC4C3D">
              <w:rPr>
                <w:sz w:val="22"/>
                <w:szCs w:val="22"/>
              </w:rPr>
              <w:t>-risk customers using ACH transactions</w:t>
            </w:r>
            <w:r>
              <w:rPr>
                <w:sz w:val="22"/>
                <w:szCs w:val="22"/>
              </w:rPr>
              <w:t>, including IATs</w:t>
            </w:r>
            <w:r w:rsidRPr="00EC4C3D">
              <w:rPr>
                <w:sz w:val="22"/>
                <w:szCs w:val="22"/>
              </w:rPr>
              <w:t>.</w:t>
            </w:r>
          </w:p>
        </w:tc>
        <w:tc>
          <w:tcPr>
            <w:tcW w:w="5508" w:type="dxa"/>
            <w:shd w:val="clear" w:color="auto" w:fill="auto"/>
          </w:tcPr>
          <w:p w14:paraId="36A9DF4F" w14:textId="77777777" w:rsidR="0059687F" w:rsidRPr="00EC4C3D" w:rsidRDefault="0059687F" w:rsidP="00FD77C2">
            <w:pPr>
              <w:rPr>
                <w:sz w:val="22"/>
                <w:szCs w:val="22"/>
              </w:rPr>
            </w:pPr>
          </w:p>
        </w:tc>
      </w:tr>
      <w:tr w:rsidR="0059687F" w:rsidRPr="00EC4C3D" w14:paraId="115BBF79" w14:textId="77777777" w:rsidTr="00FD77C2">
        <w:tc>
          <w:tcPr>
            <w:tcW w:w="5508" w:type="dxa"/>
            <w:shd w:val="clear" w:color="auto" w:fill="auto"/>
          </w:tcPr>
          <w:p w14:paraId="50B2E408" w14:textId="77777777" w:rsidR="0059687F" w:rsidRPr="00EC4C3D" w:rsidRDefault="0059687F" w:rsidP="0059687F">
            <w:pPr>
              <w:numPr>
                <w:ilvl w:val="0"/>
                <w:numId w:val="45"/>
              </w:numPr>
              <w:rPr>
                <w:sz w:val="22"/>
                <w:szCs w:val="22"/>
              </w:rPr>
            </w:pPr>
            <w:r w:rsidRPr="00EC4C3D">
              <w:rPr>
                <w:bCs/>
                <w:sz w:val="22"/>
                <w:szCs w:val="22"/>
              </w:rPr>
              <w:t xml:space="preserve">Evaluate the bank’s risks related to </w:t>
            </w:r>
            <w:r w:rsidRPr="00EC4C3D">
              <w:rPr>
                <w:sz w:val="22"/>
                <w:szCs w:val="22"/>
              </w:rPr>
              <w:t>ACH transactions</w:t>
            </w:r>
            <w:r>
              <w:rPr>
                <w:sz w:val="22"/>
                <w:szCs w:val="22"/>
              </w:rPr>
              <w:t>, including IATs,</w:t>
            </w:r>
            <w:r w:rsidRPr="00EC4C3D">
              <w:rPr>
                <w:bCs/>
                <w:sz w:val="22"/>
                <w:szCs w:val="22"/>
              </w:rPr>
              <w:t xml:space="preserve"> by analyzing the frequency and dollar volume and types of </w:t>
            </w:r>
            <w:r w:rsidRPr="00EC4C3D">
              <w:rPr>
                <w:sz w:val="22"/>
                <w:szCs w:val="22"/>
              </w:rPr>
              <w:t>ACH transactions</w:t>
            </w:r>
            <w:r w:rsidRPr="00EC4C3D">
              <w:rPr>
                <w:bCs/>
                <w:sz w:val="22"/>
                <w:szCs w:val="22"/>
              </w:rPr>
              <w:t xml:space="preserve"> </w:t>
            </w:r>
            <w:r w:rsidRPr="00EC4C3D">
              <w:rPr>
                <w:sz w:val="22"/>
                <w:szCs w:val="22"/>
              </w:rPr>
              <w:t>in relation to the bank’s size, its location, the nature of its customer account relationships</w:t>
            </w:r>
            <w:r>
              <w:rPr>
                <w:sz w:val="22"/>
                <w:szCs w:val="22"/>
              </w:rPr>
              <w:t>, and the location or the origin or destination of IATs relative to the bank’s location</w:t>
            </w:r>
            <w:r w:rsidRPr="00EC4C3D">
              <w:rPr>
                <w:sz w:val="22"/>
                <w:szCs w:val="22"/>
              </w:rPr>
              <w:t>.</w:t>
            </w:r>
          </w:p>
        </w:tc>
        <w:tc>
          <w:tcPr>
            <w:tcW w:w="5508" w:type="dxa"/>
            <w:shd w:val="clear" w:color="auto" w:fill="auto"/>
          </w:tcPr>
          <w:p w14:paraId="79E2EAEF" w14:textId="77777777" w:rsidR="0059687F" w:rsidRPr="00EC4C3D" w:rsidRDefault="0059687F" w:rsidP="00FD77C2">
            <w:pPr>
              <w:rPr>
                <w:sz w:val="22"/>
                <w:szCs w:val="22"/>
              </w:rPr>
            </w:pPr>
          </w:p>
        </w:tc>
      </w:tr>
      <w:tr w:rsidR="0059687F" w:rsidRPr="00EC4C3D" w14:paraId="2E45D95C" w14:textId="77777777" w:rsidTr="00FD77C2">
        <w:tc>
          <w:tcPr>
            <w:tcW w:w="5508" w:type="dxa"/>
            <w:shd w:val="clear" w:color="auto" w:fill="auto"/>
          </w:tcPr>
          <w:p w14:paraId="07CD471F" w14:textId="77777777" w:rsidR="0059687F" w:rsidRPr="007A4F14" w:rsidRDefault="0059687F" w:rsidP="0059687F">
            <w:pPr>
              <w:pStyle w:val="NumberedBSA-AMLList"/>
              <w:numPr>
                <w:ilvl w:val="0"/>
                <w:numId w:val="45"/>
              </w:numPr>
              <w:spacing w:after="0"/>
              <w:rPr>
                <w:sz w:val="22"/>
                <w:szCs w:val="22"/>
              </w:rPr>
            </w:pPr>
            <w:r w:rsidRPr="007A4F14">
              <w:rPr>
                <w:sz w:val="22"/>
                <w:szCs w:val="22"/>
              </w:rPr>
              <w:t>Determine whether the bank’s system for monitoring customers, including third-party service providers (TPSP), using ACH transactions and IATs for suspicious activities, and for reporting of suspicious activities, is adequate given the bank’s size, complexity, location, and types of customer relationships.  Determine whether internal control systems include:</w:t>
            </w:r>
          </w:p>
          <w:p w14:paraId="692E32A5" w14:textId="77777777" w:rsidR="0059687F" w:rsidRPr="007A4F14" w:rsidRDefault="0059687F" w:rsidP="0059687F">
            <w:pPr>
              <w:pStyle w:val="Body-BSA-AML"/>
              <w:numPr>
                <w:ilvl w:val="0"/>
                <w:numId w:val="46"/>
              </w:numPr>
              <w:spacing w:after="0"/>
              <w:rPr>
                <w:sz w:val="22"/>
                <w:szCs w:val="22"/>
              </w:rPr>
            </w:pPr>
            <w:r w:rsidRPr="007A4F14">
              <w:rPr>
                <w:sz w:val="22"/>
                <w:szCs w:val="22"/>
              </w:rPr>
              <w:t>Identifying customers with frequent and large ACH transactions or IATs.</w:t>
            </w:r>
          </w:p>
          <w:p w14:paraId="2C59E199" w14:textId="77777777" w:rsidR="0059687F" w:rsidRPr="007A4F14" w:rsidRDefault="0059687F" w:rsidP="0059687F">
            <w:pPr>
              <w:pStyle w:val="Bulletlist2ndlevel-BSA-AML"/>
              <w:numPr>
                <w:ilvl w:val="0"/>
                <w:numId w:val="46"/>
              </w:numPr>
              <w:tabs>
                <w:tab w:val="left" w:pos="360"/>
              </w:tabs>
              <w:spacing w:after="0"/>
              <w:rPr>
                <w:sz w:val="22"/>
                <w:szCs w:val="22"/>
              </w:rPr>
            </w:pPr>
            <w:r w:rsidRPr="007A4F14">
              <w:rPr>
                <w:sz w:val="22"/>
                <w:szCs w:val="22"/>
              </w:rPr>
              <w:t>Monitoring ACH detail activity when the batch-processed transactions are separated for other purposes (e.g., processing errors).</w:t>
            </w:r>
          </w:p>
          <w:p w14:paraId="0F307583" w14:textId="77777777" w:rsidR="0059687F" w:rsidRPr="007A4F14" w:rsidRDefault="0059687F" w:rsidP="0059687F">
            <w:pPr>
              <w:pStyle w:val="Body-BSA-AML"/>
              <w:numPr>
                <w:ilvl w:val="0"/>
                <w:numId w:val="46"/>
              </w:numPr>
              <w:spacing w:after="0"/>
              <w:rPr>
                <w:sz w:val="22"/>
                <w:szCs w:val="22"/>
              </w:rPr>
            </w:pPr>
            <w:r w:rsidRPr="007A4F14">
              <w:rPr>
                <w:sz w:val="22"/>
                <w:szCs w:val="22"/>
              </w:rPr>
              <w:t xml:space="preserve">As appropriate, identifying and applying increased due diligence to higher-risk customers who originate or receive IATs, particularly when a party to the transaction is located in a higher-risk geographic location.  </w:t>
            </w:r>
          </w:p>
          <w:p w14:paraId="5118EEA4" w14:textId="77777777" w:rsidR="0059687F" w:rsidRPr="00EC4C3D" w:rsidRDefault="0059687F" w:rsidP="0059687F">
            <w:pPr>
              <w:pStyle w:val="Bulletlist2ndlevel-BSA-AML"/>
              <w:numPr>
                <w:ilvl w:val="0"/>
                <w:numId w:val="46"/>
              </w:numPr>
              <w:tabs>
                <w:tab w:val="left" w:pos="360"/>
              </w:tabs>
              <w:spacing w:after="0"/>
              <w:rPr>
                <w:sz w:val="22"/>
                <w:szCs w:val="22"/>
              </w:rPr>
            </w:pPr>
            <w:r w:rsidRPr="007A4F14">
              <w:rPr>
                <w:bCs/>
                <w:sz w:val="22"/>
                <w:szCs w:val="22"/>
              </w:rPr>
              <w:t>Using methods to track, review, and investigate customer complaints or unauthorized returns regarding possible fraudulent or duplicate ACH transactions, including IATs.</w:t>
            </w:r>
          </w:p>
        </w:tc>
        <w:tc>
          <w:tcPr>
            <w:tcW w:w="5508" w:type="dxa"/>
            <w:shd w:val="clear" w:color="auto" w:fill="auto"/>
          </w:tcPr>
          <w:p w14:paraId="4487F16E" w14:textId="77777777" w:rsidR="0059687F" w:rsidRPr="00EC4C3D" w:rsidRDefault="0059687F" w:rsidP="00FD77C2">
            <w:pPr>
              <w:rPr>
                <w:sz w:val="22"/>
                <w:szCs w:val="22"/>
              </w:rPr>
            </w:pPr>
          </w:p>
        </w:tc>
      </w:tr>
      <w:tr w:rsidR="0059687F" w:rsidRPr="00EC4C3D" w14:paraId="4222580E" w14:textId="77777777" w:rsidTr="00FD77C2">
        <w:tc>
          <w:tcPr>
            <w:tcW w:w="5508" w:type="dxa"/>
            <w:shd w:val="clear" w:color="auto" w:fill="auto"/>
          </w:tcPr>
          <w:p w14:paraId="48B07470" w14:textId="77777777" w:rsidR="0059687F" w:rsidRPr="00EC4C3D" w:rsidRDefault="0059687F" w:rsidP="0059687F">
            <w:pPr>
              <w:numPr>
                <w:ilvl w:val="0"/>
                <w:numId w:val="45"/>
              </w:numPr>
              <w:rPr>
                <w:sz w:val="22"/>
                <w:szCs w:val="22"/>
              </w:rPr>
            </w:pPr>
            <w:r w:rsidRPr="00EC4C3D">
              <w:rPr>
                <w:sz w:val="22"/>
                <w:szCs w:val="22"/>
              </w:rPr>
              <w:t>If appropriate, for additional guidance refer to the core examination procedures, “Office of Foreign Assets Control</w:t>
            </w:r>
            <w:r w:rsidRPr="0083391B">
              <w:rPr>
                <w:sz w:val="22"/>
                <w:szCs w:val="22"/>
              </w:rPr>
              <w:t>”</w:t>
            </w:r>
            <w:r w:rsidRPr="00EC4C3D">
              <w:rPr>
                <w:sz w:val="22"/>
                <w:szCs w:val="22"/>
              </w:rPr>
              <w:t>.</w:t>
            </w:r>
          </w:p>
        </w:tc>
        <w:tc>
          <w:tcPr>
            <w:tcW w:w="5508" w:type="dxa"/>
            <w:shd w:val="clear" w:color="auto" w:fill="auto"/>
          </w:tcPr>
          <w:p w14:paraId="346FDA9C" w14:textId="77777777" w:rsidR="0059687F" w:rsidRPr="00EC4C3D" w:rsidRDefault="0059687F" w:rsidP="00FD77C2">
            <w:pPr>
              <w:rPr>
                <w:sz w:val="22"/>
                <w:szCs w:val="22"/>
              </w:rPr>
            </w:pPr>
          </w:p>
        </w:tc>
      </w:tr>
      <w:tr w:rsidR="0059687F" w:rsidRPr="00EC4C3D" w14:paraId="189E8A95" w14:textId="77777777" w:rsidTr="00FD77C2">
        <w:tc>
          <w:tcPr>
            <w:tcW w:w="11016" w:type="dxa"/>
            <w:gridSpan w:val="2"/>
            <w:shd w:val="clear" w:color="auto" w:fill="auto"/>
          </w:tcPr>
          <w:p w14:paraId="3A98F291" w14:textId="77777777" w:rsidR="0059687F" w:rsidRPr="00EC4C3D" w:rsidRDefault="0059687F" w:rsidP="00FD77C2">
            <w:pPr>
              <w:rPr>
                <w:b/>
                <w:sz w:val="28"/>
                <w:szCs w:val="28"/>
              </w:rPr>
            </w:pPr>
            <w:r w:rsidRPr="00EC4C3D">
              <w:rPr>
                <w:b/>
                <w:sz w:val="28"/>
                <w:szCs w:val="28"/>
              </w:rPr>
              <w:lastRenderedPageBreak/>
              <w:t>Transaction Testing</w:t>
            </w:r>
          </w:p>
        </w:tc>
      </w:tr>
      <w:tr w:rsidR="0059687F" w:rsidRPr="00EC4C3D" w14:paraId="020F8913" w14:textId="77777777" w:rsidTr="00FD77C2">
        <w:tc>
          <w:tcPr>
            <w:tcW w:w="5508" w:type="dxa"/>
            <w:shd w:val="clear" w:color="auto" w:fill="auto"/>
          </w:tcPr>
          <w:p w14:paraId="15372ACE" w14:textId="77777777" w:rsidR="0059687F" w:rsidRPr="007A4F14" w:rsidRDefault="0059687F" w:rsidP="0059687F">
            <w:pPr>
              <w:pStyle w:val="NumberedBSA-AMLList"/>
              <w:numPr>
                <w:ilvl w:val="0"/>
                <w:numId w:val="45"/>
              </w:numPr>
              <w:spacing w:after="0"/>
              <w:rPr>
                <w:sz w:val="22"/>
                <w:szCs w:val="22"/>
              </w:rPr>
            </w:pPr>
            <w:r w:rsidRPr="007A4F14">
              <w:rPr>
                <w:sz w:val="22"/>
                <w:szCs w:val="22"/>
              </w:rPr>
              <w:t>On the basis of the bank’s risk assessment of customers with ACH transactions as well as prior examination and audit reports, select a sample of higher-risk customers, including TPSPs, with ACH transactions or IATs, which may include the following:</w:t>
            </w:r>
          </w:p>
          <w:p w14:paraId="0071EEEA" w14:textId="77777777" w:rsidR="0059687F" w:rsidRPr="007A4F14" w:rsidRDefault="0059687F" w:rsidP="0059687F">
            <w:pPr>
              <w:pStyle w:val="Bulletlist2ndlevel-BSA-AML"/>
              <w:numPr>
                <w:ilvl w:val="0"/>
                <w:numId w:val="47"/>
              </w:numPr>
              <w:tabs>
                <w:tab w:val="left" w:pos="360"/>
              </w:tabs>
              <w:spacing w:after="0"/>
              <w:rPr>
                <w:sz w:val="22"/>
                <w:szCs w:val="22"/>
              </w:rPr>
            </w:pPr>
            <w:r w:rsidRPr="007A4F14">
              <w:rPr>
                <w:sz w:val="22"/>
                <w:szCs w:val="22"/>
              </w:rPr>
              <w:t>Customers initiating ACH transactions, including IATs, from the Internet or via telephone, particularly from an account opened on the Internet or via the telephone without face-to-face interaction.</w:t>
            </w:r>
          </w:p>
          <w:p w14:paraId="2DE744D3" w14:textId="77777777" w:rsidR="0059687F" w:rsidRPr="007A4F14" w:rsidRDefault="0059687F" w:rsidP="0059687F">
            <w:pPr>
              <w:pStyle w:val="Bulletlist2ndlevel-BSA-AML"/>
              <w:numPr>
                <w:ilvl w:val="0"/>
                <w:numId w:val="47"/>
              </w:numPr>
              <w:tabs>
                <w:tab w:val="left" w:pos="360"/>
              </w:tabs>
              <w:spacing w:after="0"/>
              <w:rPr>
                <w:sz w:val="22"/>
                <w:szCs w:val="22"/>
              </w:rPr>
            </w:pPr>
            <w:r w:rsidRPr="007A4F14">
              <w:rPr>
                <w:sz w:val="22"/>
                <w:szCs w:val="22"/>
              </w:rPr>
              <w:t>Customers whose business or occupation does not warrant the volume or nature of ACH or IAT activity.</w:t>
            </w:r>
          </w:p>
          <w:p w14:paraId="1C4826E0" w14:textId="77777777" w:rsidR="0059687F" w:rsidRPr="007A4F14" w:rsidRDefault="0059687F" w:rsidP="0059687F">
            <w:pPr>
              <w:pStyle w:val="Bulletlist2ndlevel-BSA-AML"/>
              <w:numPr>
                <w:ilvl w:val="0"/>
                <w:numId w:val="47"/>
              </w:numPr>
              <w:tabs>
                <w:tab w:val="left" w:pos="360"/>
              </w:tabs>
              <w:spacing w:after="0"/>
              <w:rPr>
                <w:sz w:val="22"/>
                <w:szCs w:val="22"/>
              </w:rPr>
            </w:pPr>
            <w:r w:rsidRPr="007A4F14">
              <w:rPr>
                <w:sz w:val="22"/>
                <w:szCs w:val="22"/>
              </w:rPr>
              <w:t>Customers who have been involved in the origination or receipt of duplicate or fraudulent ACH transactions or IATs.</w:t>
            </w:r>
          </w:p>
          <w:p w14:paraId="170824A6" w14:textId="77777777" w:rsidR="0059687F" w:rsidRPr="00EC4C3D" w:rsidRDefault="0059687F" w:rsidP="0059687F">
            <w:pPr>
              <w:pStyle w:val="Bulletlist2ndlevel-BSA-AML"/>
              <w:numPr>
                <w:ilvl w:val="0"/>
                <w:numId w:val="47"/>
              </w:numPr>
              <w:tabs>
                <w:tab w:val="left" w:pos="360"/>
              </w:tabs>
              <w:spacing w:after="0"/>
              <w:rPr>
                <w:sz w:val="22"/>
                <w:szCs w:val="22"/>
              </w:rPr>
            </w:pPr>
            <w:r w:rsidRPr="007A4F14">
              <w:rPr>
                <w:sz w:val="22"/>
                <w:szCs w:val="22"/>
              </w:rPr>
              <w:t>Customers or originators (clients of customers) that are generating a high rate or high volume of invalid account returns, consumer unauthorized returns, or other unauthorized transactions.</w:t>
            </w:r>
          </w:p>
        </w:tc>
        <w:tc>
          <w:tcPr>
            <w:tcW w:w="5508" w:type="dxa"/>
            <w:shd w:val="clear" w:color="auto" w:fill="auto"/>
          </w:tcPr>
          <w:p w14:paraId="2E72B827" w14:textId="77777777" w:rsidR="0059687F" w:rsidRPr="00EC4C3D" w:rsidRDefault="0059687F" w:rsidP="00FD77C2">
            <w:pPr>
              <w:rPr>
                <w:sz w:val="22"/>
                <w:szCs w:val="22"/>
              </w:rPr>
            </w:pPr>
          </w:p>
        </w:tc>
      </w:tr>
      <w:tr w:rsidR="0059687F" w:rsidRPr="00EC4C3D" w14:paraId="72B8AA1B" w14:textId="77777777" w:rsidTr="00FD77C2">
        <w:tc>
          <w:tcPr>
            <w:tcW w:w="5508" w:type="dxa"/>
            <w:shd w:val="clear" w:color="auto" w:fill="auto"/>
          </w:tcPr>
          <w:p w14:paraId="290A5204" w14:textId="77777777" w:rsidR="0059687F" w:rsidRPr="00EC4C3D" w:rsidRDefault="0059687F" w:rsidP="0059687F">
            <w:pPr>
              <w:numPr>
                <w:ilvl w:val="0"/>
                <w:numId w:val="45"/>
              </w:numPr>
              <w:rPr>
                <w:sz w:val="22"/>
                <w:szCs w:val="22"/>
              </w:rPr>
            </w:pPr>
            <w:r w:rsidRPr="00EC4C3D">
              <w:rPr>
                <w:sz w:val="22"/>
                <w:szCs w:val="22"/>
              </w:rPr>
              <w:t>From the sample selected, analyze ACH transactions</w:t>
            </w:r>
            <w:r>
              <w:rPr>
                <w:sz w:val="22"/>
                <w:szCs w:val="22"/>
              </w:rPr>
              <w:t>, including IATs,</w:t>
            </w:r>
            <w:r w:rsidRPr="00EC4C3D">
              <w:rPr>
                <w:sz w:val="22"/>
                <w:szCs w:val="22"/>
              </w:rPr>
              <w:t xml:space="preserve"> to determine whether the amounts, frequency, and jurisdictions of origin or destination are consistent with the nature of the business or occupation of the customer.</w:t>
            </w:r>
            <w:r w:rsidRPr="00EC4C3D">
              <w:rPr>
                <w:bCs/>
                <w:sz w:val="22"/>
                <w:szCs w:val="22"/>
              </w:rPr>
              <w:t xml:space="preserve">  A review of the account opening documentation, including CIP documentation, may be necessary in making these determinations.</w:t>
            </w:r>
            <w:r w:rsidRPr="00EC4C3D">
              <w:rPr>
                <w:sz w:val="22"/>
                <w:szCs w:val="22"/>
              </w:rPr>
              <w:t xml:space="preserve">  Identify any suspicious or unusual activity.</w:t>
            </w:r>
          </w:p>
        </w:tc>
        <w:tc>
          <w:tcPr>
            <w:tcW w:w="5508" w:type="dxa"/>
            <w:shd w:val="clear" w:color="auto" w:fill="auto"/>
          </w:tcPr>
          <w:p w14:paraId="0BF936D1" w14:textId="77777777" w:rsidR="0059687F" w:rsidRPr="00EC4C3D" w:rsidRDefault="0059687F" w:rsidP="00FD77C2">
            <w:pPr>
              <w:rPr>
                <w:sz w:val="22"/>
                <w:szCs w:val="22"/>
              </w:rPr>
            </w:pPr>
          </w:p>
        </w:tc>
      </w:tr>
      <w:tr w:rsidR="0059687F" w:rsidRPr="00EC4C3D" w14:paraId="3C855EB2" w14:textId="77777777" w:rsidTr="00FD77C2">
        <w:tc>
          <w:tcPr>
            <w:tcW w:w="5508" w:type="dxa"/>
            <w:shd w:val="clear" w:color="auto" w:fill="auto"/>
          </w:tcPr>
          <w:p w14:paraId="3162BC84" w14:textId="77777777" w:rsidR="0059687F" w:rsidRPr="00EC4C3D" w:rsidRDefault="0059687F" w:rsidP="0059687F">
            <w:pPr>
              <w:numPr>
                <w:ilvl w:val="0"/>
                <w:numId w:val="45"/>
              </w:numPr>
              <w:rPr>
                <w:sz w:val="22"/>
                <w:szCs w:val="22"/>
              </w:rPr>
            </w:pPr>
            <w:r w:rsidRPr="00EC4C3D">
              <w:rPr>
                <w:bCs/>
                <w:sz w:val="22"/>
                <w:szCs w:val="22"/>
              </w:rPr>
              <w:t xml:space="preserve">On the basis of examination procedures </w:t>
            </w:r>
            <w:r w:rsidRPr="00EC4C3D">
              <w:rPr>
                <w:sz w:val="22"/>
                <w:szCs w:val="22"/>
              </w:rPr>
              <w:t>completed, including transaction testing, form a conclusion about the adequacy of policies, procedures, and processes associated with ACH transactions</w:t>
            </w:r>
            <w:r>
              <w:rPr>
                <w:sz w:val="22"/>
                <w:szCs w:val="22"/>
              </w:rPr>
              <w:t xml:space="preserve"> and IATs</w:t>
            </w:r>
            <w:r w:rsidRPr="00EC4C3D">
              <w:rPr>
                <w:sz w:val="22"/>
                <w:szCs w:val="22"/>
              </w:rPr>
              <w:t>.</w:t>
            </w:r>
          </w:p>
        </w:tc>
        <w:tc>
          <w:tcPr>
            <w:tcW w:w="5508" w:type="dxa"/>
            <w:shd w:val="clear" w:color="auto" w:fill="auto"/>
          </w:tcPr>
          <w:p w14:paraId="33E6E8FF" w14:textId="77777777" w:rsidR="0059687F" w:rsidRPr="00EC4C3D" w:rsidRDefault="0059687F" w:rsidP="00FD77C2">
            <w:pPr>
              <w:rPr>
                <w:sz w:val="22"/>
                <w:szCs w:val="22"/>
              </w:rPr>
            </w:pPr>
          </w:p>
        </w:tc>
      </w:tr>
    </w:tbl>
    <w:p w14:paraId="44A841C8" w14:textId="77777777" w:rsidR="00666FEA" w:rsidRPr="0059687F" w:rsidRDefault="00666FEA" w:rsidP="0059687F">
      <w:bookmarkStart w:id="2" w:name="_GoBack"/>
      <w:bookmarkEnd w:id="2"/>
    </w:p>
    <w:sectPr w:rsidR="00666FEA" w:rsidRPr="0059687F"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5968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596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5968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5968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725D6D"/>
    <w:multiLevelType w:val="hybridMultilevel"/>
    <w:tmpl w:val="C4D80B5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734AE"/>
    <w:multiLevelType w:val="hybridMultilevel"/>
    <w:tmpl w:val="FCC22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C252F0"/>
    <w:multiLevelType w:val="hybridMultilevel"/>
    <w:tmpl w:val="1B74B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64151"/>
    <w:multiLevelType w:val="hybridMultilevel"/>
    <w:tmpl w:val="202E025E"/>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5E071E"/>
    <w:multiLevelType w:val="hybridMultilevel"/>
    <w:tmpl w:val="44A61F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6204"/>
    <w:multiLevelType w:val="hybridMultilevel"/>
    <w:tmpl w:val="34621E0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914F1"/>
    <w:multiLevelType w:val="hybridMultilevel"/>
    <w:tmpl w:val="28C43000"/>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EB356D"/>
    <w:multiLevelType w:val="hybridMultilevel"/>
    <w:tmpl w:val="FC0A91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409148B"/>
    <w:multiLevelType w:val="hybridMultilevel"/>
    <w:tmpl w:val="C17A0AE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756DC1"/>
    <w:multiLevelType w:val="hybridMultilevel"/>
    <w:tmpl w:val="23E2ED2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7A20559"/>
    <w:multiLevelType w:val="hybridMultilevel"/>
    <w:tmpl w:val="9078F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13"/>
  </w:num>
  <w:num w:numId="3">
    <w:abstractNumId w:val="33"/>
  </w:num>
  <w:num w:numId="4">
    <w:abstractNumId w:val="39"/>
  </w:num>
  <w:num w:numId="5">
    <w:abstractNumId w:val="7"/>
  </w:num>
  <w:num w:numId="6">
    <w:abstractNumId w:val="44"/>
  </w:num>
  <w:num w:numId="7">
    <w:abstractNumId w:val="24"/>
  </w:num>
  <w:num w:numId="8">
    <w:abstractNumId w:val="42"/>
  </w:num>
  <w:num w:numId="9">
    <w:abstractNumId w:val="40"/>
  </w:num>
  <w:num w:numId="10">
    <w:abstractNumId w:val="5"/>
  </w:num>
  <w:num w:numId="11">
    <w:abstractNumId w:val="31"/>
  </w:num>
  <w:num w:numId="12">
    <w:abstractNumId w:val="19"/>
  </w:num>
  <w:num w:numId="13">
    <w:abstractNumId w:val="46"/>
  </w:num>
  <w:num w:numId="14">
    <w:abstractNumId w:val="38"/>
  </w:num>
  <w:num w:numId="15">
    <w:abstractNumId w:val="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7"/>
  </w:num>
  <w:num w:numId="22">
    <w:abstractNumId w:val="1"/>
  </w:num>
  <w:num w:numId="23">
    <w:abstractNumId w:val="27"/>
  </w:num>
  <w:num w:numId="24">
    <w:abstractNumId w:val="11"/>
  </w:num>
  <w:num w:numId="25">
    <w:abstractNumId w:val="2"/>
  </w:num>
  <w:num w:numId="26">
    <w:abstractNumId w:val="14"/>
  </w:num>
  <w:num w:numId="27">
    <w:abstractNumId w:val="0"/>
  </w:num>
  <w:num w:numId="28">
    <w:abstractNumId w:val="32"/>
  </w:num>
  <w:num w:numId="29">
    <w:abstractNumId w:val="10"/>
  </w:num>
  <w:num w:numId="30">
    <w:abstractNumId w:val="45"/>
  </w:num>
  <w:num w:numId="31">
    <w:abstractNumId w:val="25"/>
  </w:num>
  <w:num w:numId="32">
    <w:abstractNumId w:val="29"/>
  </w:num>
  <w:num w:numId="33">
    <w:abstractNumId w:val="16"/>
  </w:num>
  <w:num w:numId="34">
    <w:abstractNumId w:val="43"/>
  </w:num>
  <w:num w:numId="35">
    <w:abstractNumId w:val="21"/>
  </w:num>
  <w:num w:numId="36">
    <w:abstractNumId w:val="36"/>
  </w:num>
  <w:num w:numId="37">
    <w:abstractNumId w:val="8"/>
  </w:num>
  <w:num w:numId="38">
    <w:abstractNumId w:val="28"/>
  </w:num>
  <w:num w:numId="39">
    <w:abstractNumId w:val="6"/>
  </w:num>
  <w:num w:numId="40">
    <w:abstractNumId w:val="34"/>
  </w:num>
  <w:num w:numId="41">
    <w:abstractNumId w:val="18"/>
  </w:num>
  <w:num w:numId="42">
    <w:abstractNumId w:val="12"/>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5"/>
  </w:num>
  <w:num w:numId="4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C7896"/>
    <w:rsid w:val="003017B2"/>
    <w:rsid w:val="00381955"/>
    <w:rsid w:val="004076B6"/>
    <w:rsid w:val="00437489"/>
    <w:rsid w:val="0049515A"/>
    <w:rsid w:val="004B1A48"/>
    <w:rsid w:val="0053220B"/>
    <w:rsid w:val="00545344"/>
    <w:rsid w:val="00551E98"/>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D1029"/>
    <w:rsid w:val="00BD16CB"/>
    <w:rsid w:val="00C40DD6"/>
    <w:rsid w:val="00C71445"/>
    <w:rsid w:val="00C73169"/>
    <w:rsid w:val="00C7598C"/>
    <w:rsid w:val="00CC10D0"/>
    <w:rsid w:val="00CE1F59"/>
    <w:rsid w:val="00CF0853"/>
    <w:rsid w:val="00CF7AF0"/>
    <w:rsid w:val="00D8007E"/>
    <w:rsid w:val="00D95CB7"/>
    <w:rsid w:val="00DA7E7B"/>
    <w:rsid w:val="00DB59F9"/>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4664-6C30-8041-9638-CADED8F3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Company>CPS</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2018-06-06T15:22:00Z</dcterms:created>
  <dcterms:modified xsi:type="dcterms:W3CDTF">2018-06-06T15:22:00Z</dcterms:modified>
</cp:coreProperties>
</file>