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AF9D" w14:textId="77777777" w:rsidR="004076B6" w:rsidRPr="0086047B" w:rsidRDefault="004076B6" w:rsidP="004076B6">
      <w:pPr>
        <w:pStyle w:val="Head3-BSA-AML"/>
        <w:rPr>
          <w:sz w:val="36"/>
          <w:szCs w:val="36"/>
        </w:rPr>
      </w:pPr>
      <w:bookmarkStart w:id="0" w:name="_Toc135558584"/>
      <w:r w:rsidRPr="0086047B">
        <w:rPr>
          <w:sz w:val="36"/>
          <w:szCs w:val="36"/>
        </w:rPr>
        <w:t>Examination Procedures</w:t>
      </w:r>
    </w:p>
    <w:p w14:paraId="0AE11B4A" w14:textId="77777777" w:rsidR="004076B6" w:rsidRDefault="004076B6" w:rsidP="004076B6">
      <w:pPr>
        <w:pStyle w:val="Head4-BSA-AML"/>
        <w:jc w:val="center"/>
      </w:pPr>
      <w:r>
        <w:t>Correspondent Accounts (Domestic)</w:t>
      </w:r>
      <w:bookmarkEnd w:id="0"/>
    </w:p>
    <w:p w14:paraId="78E0A618" w14:textId="77777777" w:rsidR="004076B6" w:rsidRPr="00883D93" w:rsidRDefault="004076B6" w:rsidP="004076B6">
      <w:pPr>
        <w:pStyle w:val="Body-BSA-AML"/>
        <w:rPr>
          <w:i/>
        </w:rPr>
      </w:pPr>
      <w:bookmarkStart w:id="1" w:name="_Toc133888440"/>
      <w:r w:rsidRPr="00883D93">
        <w:rPr>
          <w:rStyle w:val="Head7-BSA-AMLCharChar"/>
        </w:rPr>
        <w:t>Objective.</w:t>
      </w:r>
      <w:r w:rsidRPr="00883D93">
        <w:t xml:space="preserve">  </w:t>
      </w:r>
      <w:r w:rsidRPr="00883D93">
        <w:rPr>
          <w:i/>
        </w:rPr>
        <w:t>Assess the adequacy of the bank</w:t>
      </w:r>
      <w:r>
        <w:rPr>
          <w:i/>
        </w:rPr>
        <w:t>’</w:t>
      </w:r>
      <w:r w:rsidRPr="00883D93">
        <w:rPr>
          <w:i/>
        </w:rPr>
        <w:t>s systems to manage the risks associated with offering domestic correspondent account relationships, and management</w:t>
      </w:r>
      <w:r>
        <w:rPr>
          <w:i/>
        </w:rPr>
        <w:t>’</w:t>
      </w:r>
      <w:r w:rsidRPr="00883D93">
        <w:rPr>
          <w:i/>
        </w:rPr>
        <w:t>s ability to implement effective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5378"/>
      </w:tblGrid>
      <w:tr w:rsidR="004076B6" w:rsidRPr="00EC4C3D" w14:paraId="11E15CDF" w14:textId="77777777" w:rsidTr="00FD77C2">
        <w:trPr>
          <w:tblHeader/>
        </w:trPr>
        <w:tc>
          <w:tcPr>
            <w:tcW w:w="5508" w:type="dxa"/>
            <w:tcBorders>
              <w:bottom w:val="single" w:sz="4" w:space="0" w:color="auto"/>
            </w:tcBorders>
            <w:shd w:val="clear" w:color="auto" w:fill="E0E0E0"/>
          </w:tcPr>
          <w:p w14:paraId="5D50DA1B" w14:textId="77777777" w:rsidR="004076B6" w:rsidRPr="00EC4C3D" w:rsidRDefault="004076B6"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01CC3386" w14:textId="77777777" w:rsidR="004076B6" w:rsidRPr="00EC4C3D" w:rsidRDefault="004076B6" w:rsidP="00FD77C2">
            <w:pPr>
              <w:rPr>
                <w:b/>
                <w:sz w:val="28"/>
                <w:szCs w:val="28"/>
              </w:rPr>
            </w:pPr>
            <w:r w:rsidRPr="00EC4C3D">
              <w:rPr>
                <w:b/>
                <w:sz w:val="28"/>
                <w:szCs w:val="28"/>
              </w:rPr>
              <w:t>Comments</w:t>
            </w:r>
          </w:p>
        </w:tc>
      </w:tr>
      <w:tr w:rsidR="004076B6" w:rsidRPr="00EC4C3D" w14:paraId="3262D4C9" w14:textId="77777777" w:rsidTr="00FD77C2">
        <w:tc>
          <w:tcPr>
            <w:tcW w:w="5508" w:type="dxa"/>
            <w:shd w:val="clear" w:color="auto" w:fill="auto"/>
          </w:tcPr>
          <w:p w14:paraId="0DB48B8B" w14:textId="77777777" w:rsidR="004076B6" w:rsidRPr="00EC4C3D" w:rsidRDefault="004076B6" w:rsidP="004076B6">
            <w:pPr>
              <w:numPr>
                <w:ilvl w:val="0"/>
                <w:numId w:val="23"/>
              </w:numPr>
              <w:rPr>
                <w:sz w:val="22"/>
                <w:szCs w:val="22"/>
              </w:rPr>
            </w:pPr>
            <w:r w:rsidRPr="00EC4C3D">
              <w:rPr>
                <w:sz w:val="22"/>
                <w:szCs w:val="22"/>
              </w:rPr>
              <w:t>Review the policies, procedures, and processes, and any bank service agreements related to domestic correspondent banking relationships.  Evaluate the adequacy of the policies, procedures, and processes given the bank’s domestic correspondent accounts and the risks they present.  Assess whether the controls are adequate to reasonably protect the bank from money laundering and terrorist financing.</w:t>
            </w:r>
          </w:p>
        </w:tc>
        <w:tc>
          <w:tcPr>
            <w:tcW w:w="5508" w:type="dxa"/>
            <w:shd w:val="clear" w:color="auto" w:fill="auto"/>
          </w:tcPr>
          <w:p w14:paraId="625A0446" w14:textId="77777777" w:rsidR="004076B6" w:rsidRPr="00EC4C3D" w:rsidRDefault="004076B6" w:rsidP="00FD77C2">
            <w:pPr>
              <w:rPr>
                <w:sz w:val="22"/>
                <w:szCs w:val="22"/>
              </w:rPr>
            </w:pPr>
          </w:p>
        </w:tc>
      </w:tr>
      <w:tr w:rsidR="004076B6" w:rsidRPr="00EC4C3D" w14:paraId="69A3E5B2" w14:textId="77777777" w:rsidTr="00FD77C2">
        <w:tc>
          <w:tcPr>
            <w:tcW w:w="5508" w:type="dxa"/>
            <w:shd w:val="clear" w:color="auto" w:fill="auto"/>
          </w:tcPr>
          <w:p w14:paraId="1489F751" w14:textId="77777777" w:rsidR="004076B6" w:rsidRPr="00EC4C3D" w:rsidRDefault="004076B6" w:rsidP="004076B6">
            <w:pPr>
              <w:numPr>
                <w:ilvl w:val="0"/>
                <w:numId w:val="23"/>
              </w:numPr>
              <w:rPr>
                <w:sz w:val="22"/>
                <w:szCs w:val="22"/>
              </w:rPr>
            </w:pPr>
            <w:r w:rsidRPr="00EC4C3D">
              <w:rPr>
                <w:bCs/>
                <w:sz w:val="22"/>
                <w:szCs w:val="22"/>
              </w:rPr>
              <w:t>From</w:t>
            </w:r>
            <w:r w:rsidRPr="00EC4C3D">
              <w:rPr>
                <w:sz w:val="22"/>
                <w:szCs w:val="22"/>
              </w:rPr>
              <w:t xml:space="preserve"> a review of MIS and internal risk rating factors, determine whether the bank has identified any domestic correspondent banking activities as </w:t>
            </w:r>
            <w:r>
              <w:rPr>
                <w:sz w:val="22"/>
                <w:szCs w:val="22"/>
              </w:rPr>
              <w:t>higher risk</w:t>
            </w:r>
            <w:r w:rsidRPr="00EC4C3D">
              <w:rPr>
                <w:sz w:val="22"/>
                <w:szCs w:val="22"/>
              </w:rPr>
              <w:t>.</w:t>
            </w:r>
          </w:p>
        </w:tc>
        <w:tc>
          <w:tcPr>
            <w:tcW w:w="5508" w:type="dxa"/>
            <w:shd w:val="clear" w:color="auto" w:fill="auto"/>
          </w:tcPr>
          <w:p w14:paraId="0BE19F2B" w14:textId="77777777" w:rsidR="004076B6" w:rsidRPr="00EC4C3D" w:rsidRDefault="004076B6" w:rsidP="00FD77C2">
            <w:pPr>
              <w:rPr>
                <w:sz w:val="22"/>
                <w:szCs w:val="22"/>
              </w:rPr>
            </w:pPr>
          </w:p>
        </w:tc>
      </w:tr>
      <w:tr w:rsidR="004076B6" w:rsidRPr="00EC4C3D" w14:paraId="02C5459B" w14:textId="77777777" w:rsidTr="00FD77C2">
        <w:tc>
          <w:tcPr>
            <w:tcW w:w="5508" w:type="dxa"/>
            <w:shd w:val="clear" w:color="auto" w:fill="auto"/>
          </w:tcPr>
          <w:p w14:paraId="4FAFDCE4" w14:textId="77777777" w:rsidR="004076B6" w:rsidRPr="00EC4C3D" w:rsidRDefault="004076B6" w:rsidP="004076B6">
            <w:pPr>
              <w:numPr>
                <w:ilvl w:val="0"/>
                <w:numId w:val="23"/>
              </w:numPr>
              <w:rPr>
                <w:sz w:val="22"/>
                <w:szCs w:val="22"/>
              </w:rPr>
            </w:pPr>
            <w:r w:rsidRPr="00EC4C3D">
              <w:rPr>
                <w:sz w:val="22"/>
                <w:szCs w:val="22"/>
              </w:rPr>
              <w:t>Determine whether the bank’s system for monitoring domestic correspondent accounts for suspicious activities, and for reporting suspicious activities, is adequate given the bank’s size, complexity, location, and types of customer relationships.</w:t>
            </w:r>
          </w:p>
        </w:tc>
        <w:tc>
          <w:tcPr>
            <w:tcW w:w="5508" w:type="dxa"/>
            <w:shd w:val="clear" w:color="auto" w:fill="auto"/>
          </w:tcPr>
          <w:p w14:paraId="28BA0101" w14:textId="77777777" w:rsidR="004076B6" w:rsidRPr="00EC4C3D" w:rsidRDefault="004076B6" w:rsidP="00FD77C2">
            <w:pPr>
              <w:rPr>
                <w:sz w:val="22"/>
                <w:szCs w:val="22"/>
              </w:rPr>
            </w:pPr>
          </w:p>
        </w:tc>
      </w:tr>
      <w:tr w:rsidR="004076B6" w:rsidRPr="00EC4C3D" w14:paraId="47CE14BF" w14:textId="77777777" w:rsidTr="00FD77C2">
        <w:tc>
          <w:tcPr>
            <w:tcW w:w="5508" w:type="dxa"/>
            <w:shd w:val="clear" w:color="auto" w:fill="auto"/>
          </w:tcPr>
          <w:p w14:paraId="650BEE4C" w14:textId="77777777" w:rsidR="004076B6" w:rsidRPr="00EC4C3D" w:rsidRDefault="004076B6" w:rsidP="004076B6">
            <w:pPr>
              <w:numPr>
                <w:ilvl w:val="0"/>
                <w:numId w:val="23"/>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15C1D326" w14:textId="77777777" w:rsidR="004076B6" w:rsidRPr="00EC4C3D" w:rsidRDefault="004076B6" w:rsidP="00FD77C2">
            <w:pPr>
              <w:rPr>
                <w:sz w:val="22"/>
                <w:szCs w:val="22"/>
              </w:rPr>
            </w:pPr>
          </w:p>
        </w:tc>
      </w:tr>
      <w:tr w:rsidR="004076B6" w:rsidRPr="00EC4C3D" w14:paraId="147A170E" w14:textId="77777777" w:rsidTr="00FD77C2">
        <w:tc>
          <w:tcPr>
            <w:tcW w:w="11016" w:type="dxa"/>
            <w:gridSpan w:val="2"/>
            <w:shd w:val="clear" w:color="auto" w:fill="auto"/>
          </w:tcPr>
          <w:p w14:paraId="47FEC937" w14:textId="77777777" w:rsidR="004076B6" w:rsidRPr="00EC4C3D" w:rsidRDefault="004076B6" w:rsidP="00FD77C2">
            <w:pPr>
              <w:rPr>
                <w:b/>
                <w:sz w:val="28"/>
                <w:szCs w:val="28"/>
              </w:rPr>
            </w:pPr>
            <w:r w:rsidRPr="00EC4C3D">
              <w:rPr>
                <w:b/>
                <w:sz w:val="28"/>
                <w:szCs w:val="28"/>
              </w:rPr>
              <w:t>Transaction Testing</w:t>
            </w:r>
          </w:p>
        </w:tc>
      </w:tr>
      <w:tr w:rsidR="004076B6" w:rsidRPr="00EC4C3D" w14:paraId="78654E10" w14:textId="77777777" w:rsidTr="00FD77C2">
        <w:tc>
          <w:tcPr>
            <w:tcW w:w="5508" w:type="dxa"/>
            <w:shd w:val="clear" w:color="auto" w:fill="auto"/>
          </w:tcPr>
          <w:p w14:paraId="2AD31FEC" w14:textId="77777777" w:rsidR="004076B6" w:rsidRPr="00EC4C3D" w:rsidRDefault="004076B6" w:rsidP="004076B6">
            <w:pPr>
              <w:pStyle w:val="NumberedBSA-AMLList"/>
              <w:numPr>
                <w:ilvl w:val="0"/>
                <w:numId w:val="23"/>
              </w:numPr>
              <w:spacing w:after="0"/>
              <w:rPr>
                <w:sz w:val="22"/>
                <w:szCs w:val="22"/>
              </w:rPr>
            </w:pPr>
            <w:r w:rsidRPr="00EC4C3D">
              <w:rPr>
                <w:sz w:val="22"/>
                <w:szCs w:val="22"/>
              </w:rPr>
              <w:t>On the basis of the bank’s review of respondent accounts</w:t>
            </w:r>
            <w:r w:rsidRPr="00EC4C3D">
              <w:rPr>
                <w:rStyle w:val="FootnoteReference"/>
                <w:sz w:val="22"/>
                <w:szCs w:val="22"/>
              </w:rPr>
              <w:footnoteReference w:id="1"/>
            </w:r>
            <w:r w:rsidRPr="00EC4C3D">
              <w:rPr>
                <w:sz w:val="22"/>
                <w:szCs w:val="22"/>
              </w:rPr>
              <w:t xml:space="preserve"> with unusual or high</w:t>
            </w:r>
            <w:r>
              <w:rPr>
                <w:sz w:val="22"/>
                <w:szCs w:val="22"/>
              </w:rPr>
              <w:t>er-</w:t>
            </w:r>
            <w:r w:rsidRPr="00EC4C3D">
              <w:rPr>
                <w:sz w:val="22"/>
                <w:szCs w:val="22"/>
              </w:rPr>
              <w:t xml:space="preserve">risk activity, its risk assessment, and prior examination and audit reports, select a sample of respondent accounts.  From the sample selected, perform the following </w:t>
            </w:r>
            <w:r w:rsidRPr="00EC4C3D">
              <w:rPr>
                <w:bCs/>
                <w:sz w:val="22"/>
                <w:szCs w:val="22"/>
              </w:rPr>
              <w:t xml:space="preserve">examination </w:t>
            </w:r>
            <w:r w:rsidRPr="00EC4C3D">
              <w:rPr>
                <w:sz w:val="22"/>
                <w:szCs w:val="22"/>
              </w:rPr>
              <w:t>procedures:</w:t>
            </w:r>
          </w:p>
          <w:p w14:paraId="007C5E2E" w14:textId="77777777" w:rsidR="004076B6" w:rsidRPr="00EC4C3D" w:rsidRDefault="004076B6" w:rsidP="004076B6">
            <w:pPr>
              <w:pStyle w:val="Bulletlist2ndlevel-BSA-AML"/>
              <w:numPr>
                <w:ilvl w:val="0"/>
                <w:numId w:val="24"/>
              </w:numPr>
              <w:tabs>
                <w:tab w:val="left" w:pos="360"/>
              </w:tabs>
              <w:spacing w:after="0"/>
              <w:rPr>
                <w:sz w:val="22"/>
                <w:szCs w:val="22"/>
              </w:rPr>
            </w:pPr>
            <w:r w:rsidRPr="00EC4C3D">
              <w:rPr>
                <w:sz w:val="22"/>
                <w:szCs w:val="22"/>
              </w:rPr>
              <w:t>Review bank statements for domestic correspondent accounts.</w:t>
            </w:r>
          </w:p>
          <w:p w14:paraId="3E35BC17" w14:textId="77777777" w:rsidR="004076B6" w:rsidRPr="00EC4C3D" w:rsidRDefault="004076B6" w:rsidP="004076B6">
            <w:pPr>
              <w:pStyle w:val="Bulletlist2ndlevel-BSA-AML"/>
              <w:numPr>
                <w:ilvl w:val="0"/>
                <w:numId w:val="24"/>
              </w:numPr>
              <w:tabs>
                <w:tab w:val="left" w:pos="360"/>
              </w:tabs>
              <w:spacing w:after="0"/>
              <w:rPr>
                <w:sz w:val="22"/>
                <w:szCs w:val="22"/>
              </w:rPr>
            </w:pPr>
            <w:r w:rsidRPr="00EC4C3D">
              <w:rPr>
                <w:sz w:val="22"/>
                <w:szCs w:val="22"/>
              </w:rPr>
              <w:t>Review large or unusual transactions to determine their nature.  As necessary, obtain and review copies of credit or debit advices, general ledger tickets, and other supporting documentation.</w:t>
            </w:r>
          </w:p>
          <w:p w14:paraId="2E7D8CBC" w14:textId="77777777" w:rsidR="004076B6" w:rsidRPr="00EC4C3D" w:rsidRDefault="004076B6" w:rsidP="004076B6">
            <w:pPr>
              <w:pStyle w:val="Bulletlist2ndlevel-BSA-AML"/>
              <w:numPr>
                <w:ilvl w:val="0"/>
                <w:numId w:val="24"/>
              </w:numPr>
              <w:tabs>
                <w:tab w:val="left" w:pos="360"/>
              </w:tabs>
              <w:spacing w:after="0"/>
              <w:rPr>
                <w:sz w:val="22"/>
                <w:szCs w:val="22"/>
              </w:rPr>
            </w:pPr>
            <w:r w:rsidRPr="00EC4C3D">
              <w:rPr>
                <w:sz w:val="22"/>
                <w:szCs w:val="22"/>
              </w:rPr>
              <w:t>Note any currency shipments or deposits made on behalf of a respondent bank’s customer.  Based on this information determine whether:</w:t>
            </w:r>
          </w:p>
          <w:p w14:paraId="218CC717" w14:textId="77777777" w:rsidR="004076B6" w:rsidRPr="00EC4C3D" w:rsidRDefault="004076B6" w:rsidP="004076B6">
            <w:pPr>
              <w:pStyle w:val="Bullet-3rdlevelBSA-AML"/>
              <w:numPr>
                <w:ilvl w:val="1"/>
                <w:numId w:val="25"/>
              </w:numPr>
              <w:spacing w:after="0"/>
              <w:rPr>
                <w:sz w:val="22"/>
                <w:szCs w:val="22"/>
              </w:rPr>
            </w:pPr>
            <w:r w:rsidRPr="00EC4C3D">
              <w:rPr>
                <w:sz w:val="22"/>
                <w:szCs w:val="22"/>
              </w:rPr>
              <w:t>Currency shipments are adequately documented.</w:t>
            </w:r>
          </w:p>
          <w:p w14:paraId="30BE7913" w14:textId="77777777" w:rsidR="004076B6" w:rsidRPr="00EC4C3D" w:rsidRDefault="004076B6" w:rsidP="004076B6">
            <w:pPr>
              <w:pStyle w:val="Bullet-3rdlevelBSA-AML"/>
              <w:numPr>
                <w:ilvl w:val="1"/>
                <w:numId w:val="25"/>
              </w:numPr>
              <w:spacing w:after="0"/>
              <w:rPr>
                <w:sz w:val="22"/>
                <w:szCs w:val="22"/>
              </w:rPr>
            </w:pPr>
            <w:r w:rsidRPr="00EC4C3D">
              <w:rPr>
                <w:sz w:val="22"/>
                <w:szCs w:val="22"/>
              </w:rPr>
              <w:t xml:space="preserve">The respondent bank has performed due </w:t>
            </w:r>
            <w:r w:rsidRPr="00EC4C3D">
              <w:rPr>
                <w:sz w:val="22"/>
                <w:szCs w:val="22"/>
              </w:rPr>
              <w:lastRenderedPageBreak/>
              <w:t>diligence on customers that conduct large currency transactions.</w:t>
            </w:r>
          </w:p>
          <w:p w14:paraId="16379ED4" w14:textId="77777777" w:rsidR="004076B6" w:rsidRPr="00EC4C3D" w:rsidRDefault="004076B6" w:rsidP="004076B6">
            <w:pPr>
              <w:numPr>
                <w:ilvl w:val="1"/>
                <w:numId w:val="25"/>
              </w:numPr>
              <w:rPr>
                <w:sz w:val="22"/>
                <w:szCs w:val="22"/>
              </w:rPr>
            </w:pPr>
            <w:r w:rsidRPr="00EC4C3D">
              <w:rPr>
                <w:sz w:val="22"/>
                <w:szCs w:val="22"/>
              </w:rPr>
              <w:t>CTRs are properly filed and activity is commensurate with expected activity.</w:t>
            </w:r>
          </w:p>
        </w:tc>
        <w:tc>
          <w:tcPr>
            <w:tcW w:w="5508" w:type="dxa"/>
            <w:shd w:val="clear" w:color="auto" w:fill="auto"/>
          </w:tcPr>
          <w:p w14:paraId="6ED4E515" w14:textId="77777777" w:rsidR="004076B6" w:rsidRPr="00EC4C3D" w:rsidRDefault="004076B6" w:rsidP="00FD77C2">
            <w:pPr>
              <w:rPr>
                <w:sz w:val="22"/>
                <w:szCs w:val="22"/>
              </w:rPr>
            </w:pPr>
          </w:p>
        </w:tc>
      </w:tr>
      <w:tr w:rsidR="004076B6" w:rsidRPr="00EC4C3D" w14:paraId="443C61B0" w14:textId="77777777" w:rsidTr="00FD77C2">
        <w:tc>
          <w:tcPr>
            <w:tcW w:w="5508" w:type="dxa"/>
            <w:shd w:val="clear" w:color="auto" w:fill="auto"/>
          </w:tcPr>
          <w:p w14:paraId="6170AA54" w14:textId="77777777" w:rsidR="004076B6" w:rsidRPr="00EC4C3D" w:rsidRDefault="004076B6" w:rsidP="004076B6">
            <w:pPr>
              <w:numPr>
                <w:ilvl w:val="0"/>
                <w:numId w:val="23"/>
              </w:numPr>
              <w:rPr>
                <w:sz w:val="22"/>
                <w:szCs w:val="22"/>
              </w:rPr>
            </w:pPr>
            <w:r w:rsidRPr="00EC4C3D">
              <w:rPr>
                <w:sz w:val="22"/>
                <w:szCs w:val="22"/>
              </w:rPr>
              <w:t>Review the bank statements for domestic correspondent account records, or records of accounts controlled by the same person for large deposits of cashier’s checks, money orders, or similar instruments drawn on other banks in amounts under $10,000.  These funds may possibly be transferred elsewhere in bulk amounts.  Note whether the instruments under $10,000 are sequentially numbered.</w:t>
            </w:r>
          </w:p>
        </w:tc>
        <w:tc>
          <w:tcPr>
            <w:tcW w:w="5508" w:type="dxa"/>
            <w:shd w:val="clear" w:color="auto" w:fill="auto"/>
          </w:tcPr>
          <w:p w14:paraId="3A4355B9" w14:textId="77777777" w:rsidR="004076B6" w:rsidRPr="00EC4C3D" w:rsidRDefault="004076B6" w:rsidP="00FD77C2">
            <w:pPr>
              <w:rPr>
                <w:sz w:val="22"/>
                <w:szCs w:val="22"/>
              </w:rPr>
            </w:pPr>
          </w:p>
        </w:tc>
      </w:tr>
      <w:tr w:rsidR="004076B6" w:rsidRPr="00EC4C3D" w14:paraId="73E01E27" w14:textId="77777777" w:rsidTr="00FD77C2">
        <w:tc>
          <w:tcPr>
            <w:tcW w:w="5508" w:type="dxa"/>
            <w:shd w:val="clear" w:color="auto" w:fill="auto"/>
          </w:tcPr>
          <w:p w14:paraId="5B7C81B7" w14:textId="77777777" w:rsidR="004076B6" w:rsidRPr="00EC4C3D" w:rsidRDefault="004076B6" w:rsidP="004076B6">
            <w:pPr>
              <w:numPr>
                <w:ilvl w:val="0"/>
                <w:numId w:val="23"/>
              </w:numPr>
              <w:rPr>
                <w:sz w:val="22"/>
                <w:szCs w:val="22"/>
              </w:rPr>
            </w:pPr>
            <w:r w:rsidRPr="00EC4C3D">
              <w:rPr>
                <w:bCs/>
                <w:sz w:val="22"/>
                <w:szCs w:val="22"/>
              </w:rPr>
              <w:t xml:space="preserve">On the basis of examination procedures </w:t>
            </w:r>
            <w:r w:rsidRPr="00EC4C3D">
              <w:rPr>
                <w:sz w:val="22"/>
                <w:szCs w:val="22"/>
              </w:rPr>
              <w:t>completed, including transaction testing, form a conclusion about the adequacy of policies, procedures, and processes associated with domestic correspondent bank relationships.</w:t>
            </w:r>
          </w:p>
        </w:tc>
        <w:tc>
          <w:tcPr>
            <w:tcW w:w="5508" w:type="dxa"/>
            <w:shd w:val="clear" w:color="auto" w:fill="auto"/>
          </w:tcPr>
          <w:p w14:paraId="52892F15" w14:textId="77777777" w:rsidR="004076B6" w:rsidRPr="00EC4C3D" w:rsidRDefault="004076B6" w:rsidP="00FD77C2">
            <w:pPr>
              <w:rPr>
                <w:sz w:val="22"/>
                <w:szCs w:val="22"/>
              </w:rPr>
            </w:pPr>
          </w:p>
        </w:tc>
      </w:tr>
    </w:tbl>
    <w:p w14:paraId="44A841C8" w14:textId="77777777" w:rsidR="00666FEA" w:rsidRPr="004076B6" w:rsidRDefault="00666FEA" w:rsidP="004076B6">
      <w:bookmarkStart w:id="2" w:name="_GoBack"/>
      <w:bookmarkEnd w:id="2"/>
    </w:p>
    <w:sectPr w:rsidR="00666FEA" w:rsidRPr="004076B6"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4076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4076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 w:id="1">
    <w:p w14:paraId="77F1C316" w14:textId="77777777" w:rsidR="004076B6" w:rsidRDefault="004076B6" w:rsidP="004076B6">
      <w:pPr>
        <w:pStyle w:val="Bodyfootnote-BSA-AML"/>
      </w:pPr>
      <w:r>
        <w:rPr>
          <w:rStyle w:val="FootnoteReference"/>
        </w:rPr>
        <w:footnoteRef/>
      </w:r>
      <w:r>
        <w:t xml:space="preserve"> A respondent bank is any bank for which another bank establishes, maintains, administers, or manages a correspondent account relationship.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4076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407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7"/>
  </w:num>
  <w:num w:numId="3">
    <w:abstractNumId w:val="16"/>
  </w:num>
  <w:num w:numId="4">
    <w:abstractNumId w:val="19"/>
  </w:num>
  <w:num w:numId="5">
    <w:abstractNumId w:val="5"/>
  </w:num>
  <w:num w:numId="6">
    <w:abstractNumId w:val="23"/>
  </w:num>
  <w:num w:numId="7">
    <w:abstractNumId w:val="12"/>
  </w:num>
  <w:num w:numId="8">
    <w:abstractNumId w:val="22"/>
  </w:num>
  <w:num w:numId="9">
    <w:abstractNumId w:val="20"/>
  </w:num>
  <w:num w:numId="10">
    <w:abstractNumId w:val="4"/>
  </w:num>
  <w:num w:numId="11">
    <w:abstractNumId w:val="15"/>
  </w:num>
  <w:num w:numId="12">
    <w:abstractNumId w:val="9"/>
  </w:num>
  <w:num w:numId="13">
    <w:abstractNumId w:val="24"/>
  </w:num>
  <w:num w:numId="14">
    <w:abstractNumId w:val="18"/>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0"/>
  </w:num>
  <w:num w:numId="23">
    <w:abstractNumId w:val="13"/>
  </w:num>
  <w:num w:numId="24">
    <w:abstractNumId w:val="6"/>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C7896"/>
    <w:rsid w:val="003017B2"/>
    <w:rsid w:val="00381955"/>
    <w:rsid w:val="004076B6"/>
    <w:rsid w:val="0049515A"/>
    <w:rsid w:val="004B1A48"/>
    <w:rsid w:val="00545344"/>
    <w:rsid w:val="00551E98"/>
    <w:rsid w:val="005A483D"/>
    <w:rsid w:val="005C0EA2"/>
    <w:rsid w:val="005F5D49"/>
    <w:rsid w:val="00644539"/>
    <w:rsid w:val="0066634D"/>
    <w:rsid w:val="00666FEA"/>
    <w:rsid w:val="00693331"/>
    <w:rsid w:val="006938EE"/>
    <w:rsid w:val="00695FE5"/>
    <w:rsid w:val="00711436"/>
    <w:rsid w:val="0074091F"/>
    <w:rsid w:val="007C1396"/>
    <w:rsid w:val="007D2166"/>
    <w:rsid w:val="008218DF"/>
    <w:rsid w:val="0082386F"/>
    <w:rsid w:val="00827065"/>
    <w:rsid w:val="008C1A62"/>
    <w:rsid w:val="008D1B70"/>
    <w:rsid w:val="0092155F"/>
    <w:rsid w:val="00942A1C"/>
    <w:rsid w:val="009A7808"/>
    <w:rsid w:val="00A13081"/>
    <w:rsid w:val="00A33330"/>
    <w:rsid w:val="00A37C93"/>
    <w:rsid w:val="00A9534A"/>
    <w:rsid w:val="00AB7A7D"/>
    <w:rsid w:val="00AC3068"/>
    <w:rsid w:val="00B0373F"/>
    <w:rsid w:val="00B57732"/>
    <w:rsid w:val="00BD16CB"/>
    <w:rsid w:val="00C40DD6"/>
    <w:rsid w:val="00C71445"/>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058E-381E-CD4D-BB89-BA693639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Company>CPS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2018-06-06T15:18:00Z</dcterms:created>
  <dcterms:modified xsi:type="dcterms:W3CDTF">2018-06-06T15:18:00Z</dcterms:modified>
</cp:coreProperties>
</file>