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65EE" w14:textId="04DB40C6" w:rsidR="00214C57" w:rsidRPr="00C13F9C" w:rsidRDefault="00C13F9C" w:rsidP="00C13F9C">
      <w:pPr>
        <w:pStyle w:val="Head4-BSA-AML"/>
        <w:jc w:val="center"/>
        <w:rPr>
          <w:rFonts w:cs="Arial"/>
          <w:szCs w:val="36"/>
        </w:rPr>
      </w:pPr>
      <w:r w:rsidRPr="00C13F9C">
        <w:rPr>
          <w:rFonts w:cs="Arial"/>
          <w:szCs w:val="36"/>
        </w:rPr>
        <w:t xml:space="preserve">Transactions of Exempt Persons </w:t>
      </w:r>
      <w:r>
        <w:rPr>
          <w:rFonts w:cs="Arial"/>
          <w:szCs w:val="36"/>
        </w:rPr>
        <w:t xml:space="preserve"> </w:t>
      </w:r>
      <w:r w:rsidRPr="00C13F9C">
        <w:rPr>
          <w:rFonts w:cs="Arial"/>
          <w:szCs w:val="36"/>
        </w:rPr>
        <w:t>Examination and Testing Procedures</w:t>
      </w:r>
    </w:p>
    <w:p w14:paraId="653C10A8" w14:textId="7165446D" w:rsidR="00214C57" w:rsidRPr="00A93677" w:rsidRDefault="00214C57" w:rsidP="00214C57">
      <w:pPr>
        <w:rPr>
          <w:i/>
          <w:sz w:val="24"/>
          <w:szCs w:val="24"/>
        </w:rPr>
      </w:pPr>
      <w:r w:rsidRPr="00A93677">
        <w:rPr>
          <w:rStyle w:val="Head7-BSA-AMLCharChar"/>
          <w:szCs w:val="24"/>
        </w:rPr>
        <w:t>Objective.</w:t>
      </w:r>
      <w:r w:rsidRPr="00A93677">
        <w:rPr>
          <w:sz w:val="24"/>
          <w:szCs w:val="24"/>
        </w:rPr>
        <w:t xml:space="preserve">  </w:t>
      </w:r>
      <w:r w:rsidR="00C13F9C" w:rsidRPr="00C13F9C">
        <w:rPr>
          <w:bCs/>
          <w:i/>
          <w:sz w:val="24"/>
          <w:szCs w:val="24"/>
        </w:rPr>
        <w:t>Assess</w:t>
      </w:r>
      <w:r w:rsidR="00C13F9C" w:rsidRPr="00C13F9C">
        <w:rPr>
          <w:i/>
          <w:sz w:val="24"/>
          <w:szCs w:val="24"/>
        </w:rPr>
        <w:t xml:space="preserve"> the bank’s compliance with the BSA regulatory requirements for exemptions from the currency transaction reporting requirements.</w:t>
      </w:r>
    </w:p>
    <w:p w14:paraId="4C57FBE2" w14:textId="77777777" w:rsidR="00214C57" w:rsidRDefault="00214C57" w:rsidP="00214C57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4"/>
        <w:gridCol w:w="5396"/>
      </w:tblGrid>
      <w:tr w:rsidR="00C13F9C" w:rsidRPr="00EC4C3D" w14:paraId="67C0E617" w14:textId="77777777" w:rsidTr="00A81956">
        <w:trPr>
          <w:tblHeader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E0E0E0"/>
          </w:tcPr>
          <w:p w14:paraId="41897B25" w14:textId="77777777" w:rsidR="00C13F9C" w:rsidRPr="00EC4C3D" w:rsidRDefault="00C13F9C" w:rsidP="00A81956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Procedure</w:t>
            </w:r>
          </w:p>
        </w:tc>
        <w:tc>
          <w:tcPr>
            <w:tcW w:w="5396" w:type="dxa"/>
            <w:tcBorders>
              <w:bottom w:val="single" w:sz="4" w:space="0" w:color="auto"/>
            </w:tcBorders>
            <w:shd w:val="clear" w:color="auto" w:fill="E0E0E0"/>
          </w:tcPr>
          <w:p w14:paraId="52462331" w14:textId="77777777" w:rsidR="00C13F9C" w:rsidRPr="00EC4C3D" w:rsidRDefault="00C13F9C" w:rsidP="00A81956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Comments</w:t>
            </w:r>
          </w:p>
        </w:tc>
      </w:tr>
      <w:tr w:rsidR="00C13F9C" w:rsidRPr="00EC4C3D" w14:paraId="426DCB36" w14:textId="77777777" w:rsidTr="00A81956">
        <w:tc>
          <w:tcPr>
            <w:tcW w:w="5394" w:type="dxa"/>
            <w:shd w:val="clear" w:color="auto" w:fill="auto"/>
          </w:tcPr>
          <w:p w14:paraId="6E47F1A5" w14:textId="77777777" w:rsidR="00C13F9C" w:rsidRPr="00C13F9C" w:rsidRDefault="00C13F9C" w:rsidP="00C13F9C">
            <w:pPr>
              <w:pStyle w:val="NumberedBSA-AMLList"/>
              <w:numPr>
                <w:ilvl w:val="0"/>
                <w:numId w:val="26"/>
              </w:numPr>
              <w:spacing w:before="120" w:after="120"/>
              <w:ind w:left="360"/>
              <w:rPr>
                <w:sz w:val="22"/>
                <w:szCs w:val="22"/>
              </w:rPr>
            </w:pPr>
            <w:r w:rsidRPr="00C13F9C">
              <w:rPr>
                <w:sz w:val="22"/>
                <w:szCs w:val="22"/>
              </w:rPr>
              <w:t>Review the bank’s policies, procedures, and processes that address exempting customers from CTR filings.  Determine whether the policies, procedures and processes provide steps for:</w:t>
            </w:r>
          </w:p>
          <w:p w14:paraId="590E395B" w14:textId="77777777" w:rsidR="00C13F9C" w:rsidRPr="00C13F9C" w:rsidRDefault="00C13F9C" w:rsidP="00C13F9C">
            <w:pPr>
              <w:pStyle w:val="NumberedBSA-AMLList"/>
              <w:numPr>
                <w:ilvl w:val="0"/>
                <w:numId w:val="27"/>
              </w:numPr>
              <w:spacing w:before="120" w:after="120"/>
              <w:rPr>
                <w:sz w:val="22"/>
                <w:szCs w:val="22"/>
              </w:rPr>
            </w:pPr>
            <w:r w:rsidRPr="00C13F9C">
              <w:rPr>
                <w:sz w:val="22"/>
                <w:szCs w:val="22"/>
              </w:rPr>
              <w:t xml:space="preserve">Assuring that a person is an exempt person, including completing the required annual reviews of eligibility, </w:t>
            </w:r>
          </w:p>
          <w:p w14:paraId="11BB3FFD" w14:textId="77777777" w:rsidR="00C13F9C" w:rsidRPr="00C13F9C" w:rsidRDefault="00C13F9C" w:rsidP="00C13F9C">
            <w:pPr>
              <w:pStyle w:val="NumberedBSA-AMLList"/>
              <w:numPr>
                <w:ilvl w:val="0"/>
                <w:numId w:val="27"/>
              </w:numPr>
              <w:spacing w:before="120" w:after="120"/>
              <w:rPr>
                <w:sz w:val="22"/>
                <w:szCs w:val="22"/>
              </w:rPr>
            </w:pPr>
            <w:r w:rsidRPr="00C13F9C">
              <w:rPr>
                <w:sz w:val="22"/>
                <w:szCs w:val="22"/>
              </w:rPr>
              <w:t>Documenting the basis for conclusions regarding eligibility, and</w:t>
            </w:r>
          </w:p>
          <w:p w14:paraId="57927DEA" w14:textId="77777777" w:rsidR="00C13F9C" w:rsidRPr="00C13F9C" w:rsidRDefault="00C13F9C" w:rsidP="00C13F9C">
            <w:pPr>
              <w:pStyle w:val="NumberedBSA-AMLList"/>
              <w:numPr>
                <w:ilvl w:val="0"/>
                <w:numId w:val="27"/>
              </w:numPr>
              <w:spacing w:before="120" w:after="120"/>
              <w:rPr>
                <w:sz w:val="22"/>
                <w:szCs w:val="22"/>
              </w:rPr>
            </w:pPr>
            <w:r w:rsidRPr="00C13F9C">
              <w:rPr>
                <w:sz w:val="22"/>
                <w:szCs w:val="22"/>
              </w:rPr>
              <w:t>Documenting compliance with the regulation.</w:t>
            </w:r>
          </w:p>
        </w:tc>
        <w:tc>
          <w:tcPr>
            <w:tcW w:w="5396" w:type="dxa"/>
            <w:shd w:val="clear" w:color="auto" w:fill="auto"/>
          </w:tcPr>
          <w:p w14:paraId="29F54BE8" w14:textId="77777777" w:rsidR="00C13F9C" w:rsidRPr="00C13F9C" w:rsidRDefault="00C13F9C" w:rsidP="00A81956">
            <w:pPr>
              <w:rPr>
                <w:sz w:val="22"/>
                <w:szCs w:val="22"/>
              </w:rPr>
            </w:pPr>
          </w:p>
        </w:tc>
      </w:tr>
      <w:tr w:rsidR="00C13F9C" w:rsidRPr="00EC4C3D" w14:paraId="18F26B6F" w14:textId="77777777" w:rsidTr="00A81956">
        <w:tc>
          <w:tcPr>
            <w:tcW w:w="5394" w:type="dxa"/>
            <w:shd w:val="clear" w:color="auto" w:fill="auto"/>
          </w:tcPr>
          <w:p w14:paraId="0919BED9" w14:textId="77777777" w:rsidR="00C13F9C" w:rsidRPr="00C13F9C" w:rsidRDefault="00C13F9C" w:rsidP="00C13F9C">
            <w:pPr>
              <w:pStyle w:val="NumberedBSA-AMLList"/>
              <w:numPr>
                <w:ilvl w:val="0"/>
                <w:numId w:val="26"/>
              </w:numPr>
              <w:ind w:left="360"/>
              <w:rPr>
                <w:sz w:val="22"/>
                <w:szCs w:val="22"/>
              </w:rPr>
            </w:pPr>
            <w:r w:rsidRPr="00C13F9C">
              <w:rPr>
                <w:sz w:val="22"/>
                <w:szCs w:val="22"/>
              </w:rPr>
              <w:t>Select a sample of filed Designation of Exempt Person reports to determine whether:</w:t>
            </w:r>
          </w:p>
          <w:p w14:paraId="3BBB3159" w14:textId="77777777" w:rsidR="00C13F9C" w:rsidRPr="00C13F9C" w:rsidRDefault="00C13F9C" w:rsidP="00C13F9C">
            <w:pPr>
              <w:pStyle w:val="NumberedBSA-AMLList"/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 w:rsidRPr="00C13F9C">
              <w:rPr>
                <w:sz w:val="22"/>
                <w:szCs w:val="22"/>
              </w:rPr>
              <w:t>The reports are filed in accordance with FinCEN instructions within 30 days of the first reportable transaction that the bank sought to exempt.</w:t>
            </w:r>
          </w:p>
          <w:p w14:paraId="1760E4BF" w14:textId="77777777" w:rsidR="00C13F9C" w:rsidRPr="00C13F9C" w:rsidRDefault="00C13F9C" w:rsidP="00C13F9C">
            <w:pPr>
              <w:pStyle w:val="NumberedBSA-AMLList"/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 w:rsidRPr="00C13F9C">
              <w:rPr>
                <w:sz w:val="22"/>
                <w:szCs w:val="22"/>
              </w:rPr>
              <w:t xml:space="preserve">The customer is eligible for designation as exempt (see categories of </w:t>
            </w:r>
            <w:hyperlink w:anchor="Phase_I" w:history="1">
              <w:r w:rsidRPr="00C13F9C">
                <w:rPr>
                  <w:rStyle w:val="Hyperlink"/>
                  <w:rFonts w:eastAsiaTheme="majorEastAsia"/>
                  <w:sz w:val="22"/>
                  <w:szCs w:val="22"/>
                </w:rPr>
                <w:t>Phase I</w:t>
              </w:r>
            </w:hyperlink>
            <w:r w:rsidRPr="00C13F9C">
              <w:rPr>
                <w:sz w:val="22"/>
                <w:szCs w:val="22"/>
              </w:rPr>
              <w:t xml:space="preserve"> exempt persons and </w:t>
            </w:r>
            <w:hyperlink w:anchor="Phase_II" w:history="1">
              <w:r w:rsidRPr="00C13F9C">
                <w:rPr>
                  <w:rStyle w:val="Hyperlink"/>
                  <w:rFonts w:eastAsiaTheme="majorEastAsia"/>
                  <w:sz w:val="22"/>
                  <w:szCs w:val="22"/>
                </w:rPr>
                <w:t>Phase II</w:t>
              </w:r>
            </w:hyperlink>
            <w:r w:rsidRPr="00C13F9C">
              <w:rPr>
                <w:sz w:val="22"/>
                <w:szCs w:val="22"/>
              </w:rPr>
              <w:t xml:space="preserve"> exempt persons).  </w:t>
            </w:r>
          </w:p>
          <w:p w14:paraId="7B343CD0" w14:textId="77777777" w:rsidR="00C13F9C" w:rsidRPr="00C13F9C" w:rsidRDefault="00C13F9C" w:rsidP="00C13F9C">
            <w:pPr>
              <w:pStyle w:val="NumberedBSA-AMLList"/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 w:rsidRPr="00C13F9C">
              <w:rPr>
                <w:sz w:val="22"/>
                <w:szCs w:val="22"/>
              </w:rPr>
              <w:t>The bank maintains documentation to support that designated non-listed businesses do not receive more than 50 percent of gross revenue from ineligible business activities.</w:t>
            </w:r>
          </w:p>
        </w:tc>
        <w:tc>
          <w:tcPr>
            <w:tcW w:w="5396" w:type="dxa"/>
            <w:shd w:val="clear" w:color="auto" w:fill="auto"/>
          </w:tcPr>
          <w:p w14:paraId="1E0DF811" w14:textId="77777777" w:rsidR="00C13F9C" w:rsidRPr="00C13F9C" w:rsidRDefault="00C13F9C" w:rsidP="00A81956">
            <w:pPr>
              <w:rPr>
                <w:sz w:val="22"/>
                <w:szCs w:val="22"/>
              </w:rPr>
            </w:pPr>
          </w:p>
        </w:tc>
      </w:tr>
      <w:tr w:rsidR="00C13F9C" w:rsidRPr="00EC4C3D" w14:paraId="20BB1F65" w14:textId="77777777" w:rsidTr="00A81956">
        <w:tc>
          <w:tcPr>
            <w:tcW w:w="5394" w:type="dxa"/>
            <w:shd w:val="clear" w:color="auto" w:fill="auto"/>
          </w:tcPr>
          <w:p w14:paraId="27105133" w14:textId="77777777" w:rsidR="00C13F9C" w:rsidRPr="00C13F9C" w:rsidRDefault="00C13F9C" w:rsidP="00C13F9C">
            <w:pPr>
              <w:pStyle w:val="NumberedBSA-AMLList"/>
              <w:numPr>
                <w:ilvl w:val="0"/>
                <w:numId w:val="26"/>
              </w:numPr>
              <w:ind w:left="360"/>
              <w:rPr>
                <w:sz w:val="22"/>
                <w:szCs w:val="22"/>
              </w:rPr>
            </w:pPr>
            <w:r w:rsidRPr="00C13F9C">
              <w:rPr>
                <w:sz w:val="22"/>
                <w:szCs w:val="22"/>
              </w:rPr>
              <w:t xml:space="preserve">Determine that the information supporting the eligibility of each exempt person that is a listed public company, a listed public company subsidiary, a non-listed business, or a payroll customer is reviewed by the bank at least once a year to determine whether the person remains eligible for an exemption.  Determine that the bank appropriately documents the annual review and information used to confirm eligibility.  </w:t>
            </w:r>
          </w:p>
        </w:tc>
        <w:tc>
          <w:tcPr>
            <w:tcW w:w="5396" w:type="dxa"/>
            <w:shd w:val="clear" w:color="auto" w:fill="auto"/>
          </w:tcPr>
          <w:p w14:paraId="3807DD21" w14:textId="77777777" w:rsidR="00C13F9C" w:rsidRPr="00C13F9C" w:rsidRDefault="00C13F9C" w:rsidP="00A81956">
            <w:pPr>
              <w:rPr>
                <w:sz w:val="22"/>
                <w:szCs w:val="22"/>
              </w:rPr>
            </w:pPr>
          </w:p>
        </w:tc>
      </w:tr>
      <w:tr w:rsidR="00C13F9C" w:rsidRPr="00EC4C3D" w14:paraId="0DDE7056" w14:textId="77777777" w:rsidTr="00A81956">
        <w:tc>
          <w:tcPr>
            <w:tcW w:w="5394" w:type="dxa"/>
            <w:shd w:val="clear" w:color="auto" w:fill="auto"/>
          </w:tcPr>
          <w:p w14:paraId="45B02874" w14:textId="77777777" w:rsidR="00C13F9C" w:rsidRPr="00C13F9C" w:rsidRDefault="00C13F9C" w:rsidP="00C13F9C">
            <w:pPr>
              <w:pStyle w:val="NumberedBSA-AMLList"/>
              <w:numPr>
                <w:ilvl w:val="0"/>
                <w:numId w:val="26"/>
              </w:numPr>
              <w:ind w:left="360"/>
              <w:rPr>
                <w:sz w:val="22"/>
                <w:szCs w:val="22"/>
              </w:rPr>
            </w:pPr>
            <w:r w:rsidRPr="00C13F9C">
              <w:rPr>
                <w:sz w:val="22"/>
                <w:szCs w:val="22"/>
              </w:rPr>
              <w:t>Determine whether the bank’s internal controls are designed to assure ongoing compliance with CTR exemption requirements and are commensurate with the bank’s size or complexity and organizational structure.</w:t>
            </w:r>
          </w:p>
        </w:tc>
        <w:tc>
          <w:tcPr>
            <w:tcW w:w="5396" w:type="dxa"/>
            <w:shd w:val="clear" w:color="auto" w:fill="auto"/>
          </w:tcPr>
          <w:p w14:paraId="120CBDEA" w14:textId="77777777" w:rsidR="00C13F9C" w:rsidRPr="00C13F9C" w:rsidRDefault="00C13F9C" w:rsidP="00A81956">
            <w:pPr>
              <w:rPr>
                <w:sz w:val="22"/>
                <w:szCs w:val="22"/>
              </w:rPr>
            </w:pPr>
          </w:p>
        </w:tc>
      </w:tr>
      <w:tr w:rsidR="00C13F9C" w:rsidRPr="00EC4C3D" w14:paraId="6B9626BA" w14:textId="77777777" w:rsidTr="00A81956">
        <w:tc>
          <w:tcPr>
            <w:tcW w:w="5394" w:type="dxa"/>
            <w:shd w:val="clear" w:color="auto" w:fill="auto"/>
          </w:tcPr>
          <w:p w14:paraId="29883ACE" w14:textId="77777777" w:rsidR="00C13F9C" w:rsidRPr="00C13F9C" w:rsidRDefault="00C13F9C" w:rsidP="00C13F9C">
            <w:pPr>
              <w:pStyle w:val="NumberedBSA-AMLList"/>
              <w:numPr>
                <w:ilvl w:val="0"/>
                <w:numId w:val="26"/>
              </w:numPr>
              <w:ind w:left="360"/>
              <w:rPr>
                <w:sz w:val="22"/>
                <w:szCs w:val="22"/>
              </w:rPr>
            </w:pPr>
            <w:proofErr w:type="gramStart"/>
            <w:r w:rsidRPr="00C13F9C">
              <w:rPr>
                <w:sz w:val="22"/>
                <w:szCs w:val="22"/>
              </w:rPr>
              <w:t>On the basis of</w:t>
            </w:r>
            <w:proofErr w:type="gramEnd"/>
            <w:r w:rsidRPr="00C13F9C">
              <w:rPr>
                <w:sz w:val="22"/>
                <w:szCs w:val="22"/>
              </w:rPr>
              <w:t xml:space="preserve"> examination and testing procedures completed, form a conclusion about the adequacy of policies, procedures, and processes the bank has </w:t>
            </w:r>
            <w:r w:rsidRPr="00C13F9C">
              <w:rPr>
                <w:sz w:val="22"/>
                <w:szCs w:val="22"/>
              </w:rPr>
              <w:lastRenderedPageBreak/>
              <w:t>developed to meet BSA regulatory requirements associated with exemptions from currency transaction reporting.</w:t>
            </w:r>
          </w:p>
        </w:tc>
        <w:tc>
          <w:tcPr>
            <w:tcW w:w="5396" w:type="dxa"/>
            <w:shd w:val="clear" w:color="auto" w:fill="auto"/>
          </w:tcPr>
          <w:p w14:paraId="6A44C713" w14:textId="77777777" w:rsidR="00C13F9C" w:rsidRPr="00C13F9C" w:rsidRDefault="00C13F9C" w:rsidP="00A81956">
            <w:pPr>
              <w:rPr>
                <w:sz w:val="22"/>
                <w:szCs w:val="22"/>
              </w:rPr>
            </w:pPr>
          </w:p>
        </w:tc>
      </w:tr>
    </w:tbl>
    <w:p w14:paraId="39A1F16E" w14:textId="77777777" w:rsidR="008218DF" w:rsidRPr="00214C57" w:rsidRDefault="008218DF" w:rsidP="00214C57"/>
    <w:sectPr w:rsidR="008218DF" w:rsidRPr="00214C57" w:rsidSect="00C73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26F27" w14:textId="77777777" w:rsidR="00C64E9C" w:rsidRDefault="00C64E9C" w:rsidP="001C597F">
      <w:r>
        <w:separator/>
      </w:r>
    </w:p>
  </w:endnote>
  <w:endnote w:type="continuationSeparator" w:id="0">
    <w:p w14:paraId="27D1F79F" w14:textId="77777777" w:rsidR="00C64E9C" w:rsidRDefault="00C64E9C" w:rsidP="001C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030374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EDB2F8" w14:textId="7710F3EC" w:rsidR="001C597F" w:rsidRDefault="001C597F" w:rsidP="00732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C0AC88" w14:textId="77777777" w:rsidR="001C597F" w:rsidRDefault="001C597F" w:rsidP="001C59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044211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FE43D" w14:textId="04593D23" w:rsidR="001C597F" w:rsidRDefault="001C597F" w:rsidP="00732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211ACE4" w14:textId="77777777" w:rsidR="001C597F" w:rsidRDefault="001C597F" w:rsidP="001C597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0AE9" w14:textId="77777777" w:rsidR="00644539" w:rsidRDefault="00644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1375A" w14:textId="77777777" w:rsidR="00C64E9C" w:rsidRDefault="00C64E9C" w:rsidP="001C597F">
      <w:r>
        <w:separator/>
      </w:r>
    </w:p>
  </w:footnote>
  <w:footnote w:type="continuationSeparator" w:id="0">
    <w:p w14:paraId="0A053383" w14:textId="77777777" w:rsidR="00C64E9C" w:rsidRDefault="00C64E9C" w:rsidP="001C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1C9F" w14:textId="77777777" w:rsidR="00644539" w:rsidRDefault="00644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3DF3" w14:textId="36B61658" w:rsidR="001C597F" w:rsidRDefault="001C597F" w:rsidP="001C597F">
    <w:pPr>
      <w:pStyle w:val="Header"/>
      <w:jc w:val="right"/>
      <w:rPr>
        <w:sz w:val="22"/>
        <w:szCs w:val="22"/>
      </w:rPr>
    </w:pPr>
    <w:r w:rsidRPr="00DC1BB9">
      <w:rPr>
        <w:sz w:val="22"/>
        <w:szCs w:val="22"/>
      </w:rPr>
      <w:t>BSA/AML</w:t>
    </w:r>
    <w:r>
      <w:rPr>
        <w:sz w:val="22"/>
        <w:szCs w:val="22"/>
      </w:rPr>
      <w:t xml:space="preserve"> </w:t>
    </w:r>
    <w:r w:rsidR="00644539">
      <w:rPr>
        <w:sz w:val="22"/>
        <w:szCs w:val="22"/>
      </w:rPr>
      <w:t>Examination Procedures</w:t>
    </w:r>
  </w:p>
  <w:p w14:paraId="1D958137" w14:textId="77777777" w:rsidR="001C597F" w:rsidRDefault="001C5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2BDD6" w14:textId="77777777" w:rsidR="00644539" w:rsidRDefault="00644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BBC"/>
    <w:multiLevelType w:val="hybridMultilevel"/>
    <w:tmpl w:val="5F64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30368"/>
    <w:multiLevelType w:val="hybridMultilevel"/>
    <w:tmpl w:val="8D34B070"/>
    <w:lvl w:ilvl="0" w:tplc="42CE6A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F32"/>
    <w:multiLevelType w:val="hybridMultilevel"/>
    <w:tmpl w:val="3DB8495E"/>
    <w:lvl w:ilvl="0" w:tplc="BC0A5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F74DF"/>
    <w:multiLevelType w:val="hybridMultilevel"/>
    <w:tmpl w:val="DC32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409E"/>
    <w:multiLevelType w:val="hybridMultilevel"/>
    <w:tmpl w:val="40A8D1BC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B21"/>
    <w:multiLevelType w:val="hybridMultilevel"/>
    <w:tmpl w:val="132000B2"/>
    <w:lvl w:ilvl="0" w:tplc="E77AC2B4">
      <w:start w:val="1"/>
      <w:numFmt w:val="bullet"/>
      <w:pStyle w:val="BulletlistBSA-AM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C88D6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15C42"/>
    <w:multiLevelType w:val="hybridMultilevel"/>
    <w:tmpl w:val="D662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13E12"/>
    <w:multiLevelType w:val="hybridMultilevel"/>
    <w:tmpl w:val="1378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0214"/>
    <w:multiLevelType w:val="hybridMultilevel"/>
    <w:tmpl w:val="BE148E4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D414D"/>
    <w:multiLevelType w:val="hybridMultilevel"/>
    <w:tmpl w:val="BD1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54EE8"/>
    <w:multiLevelType w:val="hybridMultilevel"/>
    <w:tmpl w:val="CCDA4A26"/>
    <w:lvl w:ilvl="0" w:tplc="AF68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45D32"/>
    <w:multiLevelType w:val="hybridMultilevel"/>
    <w:tmpl w:val="66E4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256FD"/>
    <w:multiLevelType w:val="hybridMultilevel"/>
    <w:tmpl w:val="97345426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FB"/>
    <w:multiLevelType w:val="multilevel"/>
    <w:tmpl w:val="4FDE7A30"/>
    <w:lvl w:ilvl="0">
      <w:start w:val="1"/>
      <w:numFmt w:val="decimal"/>
      <w:pStyle w:val="Numberedlist-BSA-AM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951CC"/>
    <w:multiLevelType w:val="hybridMultilevel"/>
    <w:tmpl w:val="94D06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D495F"/>
    <w:multiLevelType w:val="hybridMultilevel"/>
    <w:tmpl w:val="888AB61A"/>
    <w:lvl w:ilvl="0" w:tplc="B4188A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804A2E"/>
    <w:multiLevelType w:val="hybridMultilevel"/>
    <w:tmpl w:val="FDD4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56342"/>
    <w:multiLevelType w:val="hybridMultilevel"/>
    <w:tmpl w:val="BC56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96B54"/>
    <w:multiLevelType w:val="hybridMultilevel"/>
    <w:tmpl w:val="A9580FD2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E7060"/>
    <w:multiLevelType w:val="hybridMultilevel"/>
    <w:tmpl w:val="E2D6EB8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5F8B3351"/>
    <w:multiLevelType w:val="hybridMultilevel"/>
    <w:tmpl w:val="EA70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C07E6"/>
    <w:multiLevelType w:val="hybridMultilevel"/>
    <w:tmpl w:val="649404E8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A2B62"/>
    <w:multiLevelType w:val="hybridMultilevel"/>
    <w:tmpl w:val="7702EEEE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E5A9F"/>
    <w:multiLevelType w:val="hybridMultilevel"/>
    <w:tmpl w:val="7D42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47B47"/>
    <w:multiLevelType w:val="hybridMultilevel"/>
    <w:tmpl w:val="EB30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321FB"/>
    <w:multiLevelType w:val="hybridMultilevel"/>
    <w:tmpl w:val="C1848068"/>
    <w:lvl w:ilvl="0" w:tplc="9F90F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650C7"/>
    <w:multiLevelType w:val="hybridMultilevel"/>
    <w:tmpl w:val="3B2A1B76"/>
    <w:lvl w:ilvl="0" w:tplc="C7EEAFC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75364"/>
    <w:multiLevelType w:val="hybridMultilevel"/>
    <w:tmpl w:val="BED8E39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7"/>
  </w:num>
  <w:num w:numId="5">
    <w:abstractNumId w:val="22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19"/>
  </w:num>
  <w:num w:numId="11">
    <w:abstractNumId w:val="21"/>
  </w:num>
  <w:num w:numId="12">
    <w:abstractNumId w:val="18"/>
  </w:num>
  <w:num w:numId="13">
    <w:abstractNumId w:val="4"/>
  </w:num>
  <w:num w:numId="14">
    <w:abstractNumId w:val="26"/>
  </w:num>
  <w:num w:numId="15">
    <w:abstractNumId w:val="12"/>
  </w:num>
  <w:num w:numId="16">
    <w:abstractNumId w:val="24"/>
  </w:num>
  <w:num w:numId="17">
    <w:abstractNumId w:val="0"/>
  </w:num>
  <w:num w:numId="18">
    <w:abstractNumId w:val="16"/>
  </w:num>
  <w:num w:numId="19">
    <w:abstractNumId w:val="3"/>
  </w:num>
  <w:num w:numId="20">
    <w:abstractNumId w:val="9"/>
  </w:num>
  <w:num w:numId="21">
    <w:abstractNumId w:val="20"/>
  </w:num>
  <w:num w:numId="22">
    <w:abstractNumId w:val="23"/>
  </w:num>
  <w:num w:numId="23">
    <w:abstractNumId w:val="14"/>
  </w:num>
  <w:num w:numId="24">
    <w:abstractNumId w:val="25"/>
  </w:num>
  <w:num w:numId="25">
    <w:abstractNumId w:val="11"/>
  </w:num>
  <w:num w:numId="26">
    <w:abstractNumId w:val="10"/>
  </w:num>
  <w:num w:numId="27">
    <w:abstractNumId w:val="17"/>
  </w:num>
  <w:num w:numId="2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69"/>
    <w:rsid w:val="000136F5"/>
    <w:rsid w:val="00027635"/>
    <w:rsid w:val="000435AD"/>
    <w:rsid w:val="000B6182"/>
    <w:rsid w:val="00153D87"/>
    <w:rsid w:val="001C597F"/>
    <w:rsid w:val="00214C57"/>
    <w:rsid w:val="002456DC"/>
    <w:rsid w:val="002C7896"/>
    <w:rsid w:val="00381955"/>
    <w:rsid w:val="00545344"/>
    <w:rsid w:val="00551E98"/>
    <w:rsid w:val="005A483D"/>
    <w:rsid w:val="00644539"/>
    <w:rsid w:val="0066634D"/>
    <w:rsid w:val="00693331"/>
    <w:rsid w:val="006938EE"/>
    <w:rsid w:val="00711436"/>
    <w:rsid w:val="0074091F"/>
    <w:rsid w:val="00767E2C"/>
    <w:rsid w:val="008218DF"/>
    <w:rsid w:val="0082386F"/>
    <w:rsid w:val="00827065"/>
    <w:rsid w:val="008C1A62"/>
    <w:rsid w:val="008D1B70"/>
    <w:rsid w:val="00942A1C"/>
    <w:rsid w:val="00A13081"/>
    <w:rsid w:val="00A33330"/>
    <w:rsid w:val="00A37C93"/>
    <w:rsid w:val="00A93677"/>
    <w:rsid w:val="00A9534A"/>
    <w:rsid w:val="00AB7A7D"/>
    <w:rsid w:val="00AC3068"/>
    <w:rsid w:val="00B0373F"/>
    <w:rsid w:val="00B57732"/>
    <w:rsid w:val="00BD16CB"/>
    <w:rsid w:val="00C13F9C"/>
    <w:rsid w:val="00C40DD6"/>
    <w:rsid w:val="00C64E9C"/>
    <w:rsid w:val="00C73169"/>
    <w:rsid w:val="00C7598C"/>
    <w:rsid w:val="00CC10D0"/>
    <w:rsid w:val="00CE1F59"/>
    <w:rsid w:val="00CF0853"/>
    <w:rsid w:val="00CF7AF0"/>
    <w:rsid w:val="00D8007E"/>
    <w:rsid w:val="00D95CB7"/>
    <w:rsid w:val="00DA7E7B"/>
    <w:rsid w:val="00EC37F2"/>
    <w:rsid w:val="00F338D1"/>
    <w:rsid w:val="00F410AB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A3731"/>
  <w14:defaultImageDpi w14:val="300"/>
  <w15:chartTrackingRefBased/>
  <w15:docId w15:val="{B954B535-FA18-0B4B-81C9-0E80C28F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597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9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0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BSA-AML">
    <w:name w:val="Body-BSA-AML"/>
    <w:link w:val="Body-BSA-AMLChar"/>
    <w:rsid w:val="001C597F"/>
    <w:pPr>
      <w:tabs>
        <w:tab w:val="left" w:pos="360"/>
      </w:tabs>
      <w:spacing w:after="200"/>
    </w:pPr>
    <w:rPr>
      <w:rFonts w:ascii="Times New Roman" w:eastAsia="Times New Roman" w:hAnsi="Times New Roman" w:cs="Times New Roman"/>
      <w:szCs w:val="20"/>
    </w:rPr>
  </w:style>
  <w:style w:type="character" w:customStyle="1" w:styleId="Head7-BSA-AMLCharChar">
    <w:name w:val="Head 7-BSA-AML Char Char"/>
    <w:rsid w:val="001C597F"/>
    <w:rPr>
      <w:b/>
      <w:sz w:val="24"/>
      <w:lang w:val="en-US" w:eastAsia="en-US"/>
    </w:rPr>
  </w:style>
  <w:style w:type="character" w:customStyle="1" w:styleId="Body-BSA-AMLChar">
    <w:name w:val="Body-BSA-AML Char"/>
    <w:link w:val="Body-BSA-AML"/>
    <w:locked/>
    <w:rsid w:val="001C597F"/>
    <w:rPr>
      <w:rFonts w:ascii="Times New Roman" w:eastAsia="Times New Roman" w:hAnsi="Times New Roman" w:cs="Times New Roman"/>
      <w:szCs w:val="20"/>
    </w:rPr>
  </w:style>
  <w:style w:type="paragraph" w:customStyle="1" w:styleId="Head3-BSA-AML">
    <w:name w:val="Head 3-BSA-AML"/>
    <w:basedOn w:val="Heading3"/>
    <w:next w:val="Body-BSA-AML"/>
    <w:rsid w:val="001C597F"/>
    <w:pPr>
      <w:keepLines w:val="0"/>
      <w:spacing w:before="120" w:after="240"/>
      <w:jc w:val="center"/>
    </w:pPr>
    <w:rPr>
      <w:rFonts w:ascii="Times New Roman" w:eastAsia="Times New Roman" w:hAnsi="Times New Roman" w:cs="Arial"/>
      <w:b/>
      <w:bCs/>
      <w:color w:val="auto"/>
      <w:sz w:val="44"/>
      <w:szCs w:val="26"/>
    </w:rPr>
  </w:style>
  <w:style w:type="paragraph" w:customStyle="1" w:styleId="Numberedlist-BSA-AML">
    <w:name w:val="Numbered list-BSA-AML"/>
    <w:basedOn w:val="Normal"/>
    <w:next w:val="Body-BSA-AML"/>
    <w:rsid w:val="001C597F"/>
    <w:pPr>
      <w:numPr>
        <w:numId w:val="1"/>
      </w:numPr>
      <w:spacing w:after="200"/>
    </w:pPr>
    <w:rPr>
      <w:sz w:val="24"/>
      <w:szCs w:val="24"/>
    </w:rPr>
  </w:style>
  <w:style w:type="paragraph" w:customStyle="1" w:styleId="Bulletlist2ndlevel-BSA-AML">
    <w:name w:val="Bullet list 2nd level-BSA-AML"/>
    <w:basedOn w:val="ListBullet"/>
    <w:next w:val="Body-BSA-AML"/>
    <w:link w:val="Bulletlist2ndlevel-BSA-AMLChar"/>
    <w:rsid w:val="001C597F"/>
    <w:pPr>
      <w:spacing w:after="200"/>
      <w:contextualSpacing w:val="0"/>
    </w:pPr>
    <w:rPr>
      <w:sz w:val="24"/>
    </w:rPr>
  </w:style>
  <w:style w:type="character" w:customStyle="1" w:styleId="Bulletlist2ndlevel-BSA-AMLChar">
    <w:name w:val="Bullet list 2nd level-BSA-AML Char"/>
    <w:link w:val="Bulletlist2ndlevel-BSA-AML"/>
    <w:locked/>
    <w:rsid w:val="001C597F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97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Bullet">
    <w:name w:val="List Bullet"/>
    <w:basedOn w:val="Normal"/>
    <w:uiPriority w:val="99"/>
    <w:semiHidden/>
    <w:unhideWhenUsed/>
    <w:rsid w:val="001C597F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9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7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597F"/>
  </w:style>
  <w:style w:type="paragraph" w:customStyle="1" w:styleId="Head4-BSA-AML">
    <w:name w:val="Head 4-BSA-AML"/>
    <w:basedOn w:val="Heading4"/>
    <w:next w:val="Body-BSA-AML"/>
    <w:rsid w:val="00827065"/>
    <w:pPr>
      <w:keepLines w:val="0"/>
      <w:tabs>
        <w:tab w:val="left" w:pos="360"/>
      </w:tabs>
      <w:spacing w:before="0" w:after="200"/>
    </w:pPr>
    <w:rPr>
      <w:rFonts w:ascii="Times New Roman" w:eastAsia="Times New Roman" w:hAnsi="Times New Roman" w:cs="Times New Roman"/>
      <w:b/>
      <w:bCs/>
      <w:i w:val="0"/>
      <w:iCs w:val="0"/>
      <w:color w:val="auto"/>
      <w:sz w:val="36"/>
      <w:szCs w:val="28"/>
    </w:rPr>
  </w:style>
  <w:style w:type="paragraph" w:customStyle="1" w:styleId="BulletlistBSA-AML">
    <w:name w:val="Bullet list (BSA-AML)"/>
    <w:next w:val="Body-BSA-AML"/>
    <w:link w:val="BulletlistBSA-AMLCharChar"/>
    <w:rsid w:val="00827065"/>
    <w:pPr>
      <w:numPr>
        <w:numId w:val="2"/>
      </w:numPr>
      <w:spacing w:after="200"/>
    </w:pPr>
    <w:rPr>
      <w:rFonts w:ascii="Times New Roman" w:eastAsia="Times New Roman" w:hAnsi="Times New Roman" w:cs="Times New Roman"/>
      <w:szCs w:val="20"/>
    </w:rPr>
  </w:style>
  <w:style w:type="character" w:customStyle="1" w:styleId="BulletlistBSA-AMLCharChar">
    <w:name w:val="Bullet list (BSA-AML) Char Char"/>
    <w:basedOn w:val="DefaultParagraphFont"/>
    <w:link w:val="BulletlistBSA-AML"/>
    <w:rsid w:val="00827065"/>
    <w:rPr>
      <w:rFonts w:ascii="Times New Roman" w:eastAsia="Times New Roman" w:hAnsi="Times New Roman" w:cs="Times New Roman"/>
      <w:szCs w:val="20"/>
    </w:rPr>
  </w:style>
  <w:style w:type="character" w:customStyle="1" w:styleId="Bodyindent-BSA-AMLChar">
    <w:name w:val="Body indent-BSA-AML Char"/>
    <w:basedOn w:val="DefaultParagraphFont"/>
    <w:rsid w:val="00827065"/>
    <w:rPr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06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customStyle="1" w:styleId="NumberedBSA-AMLList">
    <w:name w:val="Numbered BSA-AML List"/>
    <w:basedOn w:val="Normal"/>
    <w:next w:val="Body-BSA-AML"/>
    <w:link w:val="NumberedBSA-AMLListChar"/>
    <w:rsid w:val="0066634D"/>
    <w:pPr>
      <w:tabs>
        <w:tab w:val="left" w:pos="360"/>
      </w:tabs>
      <w:spacing w:after="200"/>
      <w:ind w:left="360" w:hanging="360"/>
    </w:pPr>
    <w:rPr>
      <w:sz w:val="24"/>
    </w:rPr>
  </w:style>
  <w:style w:type="character" w:customStyle="1" w:styleId="NumberedBSA-AMLListChar">
    <w:name w:val="Numbered BSA-AML List Char"/>
    <w:basedOn w:val="DefaultParagraphFont"/>
    <w:link w:val="NumberedBSA-AMLList"/>
    <w:rsid w:val="0066634D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aliases w:val="Footnote Reference-BSA-AML,Footnote Reference BSA-AML Manual"/>
    <w:basedOn w:val="DefaultParagraphFont"/>
    <w:uiPriority w:val="99"/>
    <w:qFormat/>
    <w:rsid w:val="008218DF"/>
    <w:rPr>
      <w:rFonts w:ascii="Times New Roman" w:hAnsi="Times New Roman"/>
      <w:sz w:val="20"/>
      <w:szCs w:val="24"/>
      <w:vertAlign w:val="superscript"/>
      <w:lang w:val="en-US" w:eastAsia="en-US" w:bidi="ar-SA"/>
    </w:rPr>
  </w:style>
  <w:style w:type="paragraph" w:customStyle="1" w:styleId="Bodyfootnote-BSA-AML">
    <w:name w:val="Body footnote-BSA-AML"/>
    <w:basedOn w:val="FootnoteText"/>
    <w:link w:val="Bodyfootnote-BSA-AMLChar"/>
    <w:rsid w:val="008218DF"/>
    <w:pPr>
      <w:spacing w:after="120"/>
    </w:pPr>
  </w:style>
  <w:style w:type="character" w:customStyle="1" w:styleId="Bodyfootnote-BSA-AMLChar">
    <w:name w:val="Body footnote-BSA-AML Char"/>
    <w:basedOn w:val="DefaultParagraphFont"/>
    <w:link w:val="Bodyfootnote-BSA-AML"/>
    <w:rsid w:val="008218D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8D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8D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H3 N,Bullet 1"/>
    <w:basedOn w:val="Normal"/>
    <w:link w:val="ListParagraphChar"/>
    <w:uiPriority w:val="1"/>
    <w:qFormat/>
    <w:rsid w:val="0074091F"/>
    <w:pPr>
      <w:ind w:left="720"/>
    </w:pPr>
    <w:rPr>
      <w:sz w:val="24"/>
      <w:szCs w:val="24"/>
    </w:rPr>
  </w:style>
  <w:style w:type="paragraph" w:customStyle="1" w:styleId="Bodyindent-BSA-AML">
    <w:name w:val="Body indent-BSA-AML"/>
    <w:basedOn w:val="Body-BSA-AML"/>
    <w:next w:val="Body-BSA-AML"/>
    <w:rsid w:val="00214C57"/>
    <w:pPr>
      <w:ind w:left="360"/>
    </w:pPr>
  </w:style>
  <w:style w:type="character" w:customStyle="1" w:styleId="Heading1Char">
    <w:name w:val="Heading 1 Char"/>
    <w:basedOn w:val="DefaultParagraphFont"/>
    <w:link w:val="Heading1"/>
    <w:uiPriority w:val="9"/>
    <w:rsid w:val="00A93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aliases w:val="H3 N Char,Bullet 1 Char"/>
    <w:basedOn w:val="DefaultParagraphFont"/>
    <w:link w:val="ListParagraph"/>
    <w:uiPriority w:val="1"/>
    <w:locked/>
    <w:rsid w:val="00767E2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13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124F17-10C4-614E-8A11-DCDD0B42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>CPS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J. Attard</dc:creator>
  <cp:keywords/>
  <dc:description/>
  <cp:lastModifiedBy>Adam J. Attard</cp:lastModifiedBy>
  <cp:revision>2</cp:revision>
  <dcterms:created xsi:type="dcterms:W3CDTF">2021-02-21T15:21:00Z</dcterms:created>
  <dcterms:modified xsi:type="dcterms:W3CDTF">2021-02-21T15:21:00Z</dcterms:modified>
</cp:coreProperties>
</file>